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D6A2C">
      <w:pPr>
        <w:jc w:val="right"/>
        <w:rPr>
          <w:rFonts w:cstheme="minorHAnsi"/>
          <w:sz w:val="22"/>
          <w:szCs w:val="22"/>
          <w:highlight w:val="none"/>
        </w:rPr>
      </w:pPr>
      <w:r>
        <w:rPr>
          <w:rFonts w:hint="eastAsia" w:eastAsia="宋体" w:cstheme="minorHAnsi"/>
          <w:b/>
          <w:bCs/>
          <w:sz w:val="22"/>
          <w:szCs w:val="22"/>
          <w:highlight w:val="none"/>
          <w:lang w:val="en-US" w:eastAsia="zh-CN"/>
        </w:rPr>
        <w:t>FR                                                                              Article N°195H</w:t>
      </w:r>
    </w:p>
    <w:p w14:paraId="7D1EC849">
      <w:pPr>
        <w:jc w:val="center"/>
        <w:rPr>
          <w:rFonts w:cstheme="minorHAnsi"/>
          <w:sz w:val="22"/>
          <w:szCs w:val="22"/>
          <w:highlight w:val="none"/>
        </w:rPr>
      </w:pPr>
      <w:r>
        <w:rPr>
          <w:rFonts w:cstheme="minorHAnsi"/>
          <w:b/>
          <w:bCs/>
          <w:sz w:val="22"/>
          <w:szCs w:val="22"/>
          <w:highlight w:val="none"/>
        </w:rPr>
        <w:t>Manuel d'utilisation</w:t>
      </w:r>
    </w:p>
    <w:p w14:paraId="20F6A277">
      <w:pPr>
        <w:rPr>
          <w:rFonts w:cstheme="minorHAnsi"/>
          <w:b/>
          <w:bCs/>
          <w:sz w:val="22"/>
          <w:szCs w:val="22"/>
          <w:highlight w:val="none"/>
        </w:rPr>
      </w:pPr>
      <w:r>
        <w:rPr>
          <w:rFonts w:cstheme="minorHAnsi"/>
          <w:b/>
          <w:bCs/>
          <w:sz w:val="22"/>
          <w:szCs w:val="22"/>
          <w:highlight w:val="none"/>
        </w:rPr>
        <w:t>⚠ AVERTISSEMENT</w:t>
      </w:r>
    </w:p>
    <w:p w14:paraId="30C37225">
      <w:pPr>
        <w:rPr>
          <w:rFonts w:cstheme="minorHAnsi"/>
          <w:sz w:val="22"/>
          <w:szCs w:val="22"/>
          <w:highlight w:val="none"/>
        </w:rPr>
      </w:pPr>
      <w:r>
        <w:rPr>
          <w:rFonts w:cstheme="minorHAnsi"/>
          <w:sz w:val="22"/>
          <w:szCs w:val="22"/>
          <w:highlight w:val="none"/>
        </w:rPr>
        <w:t>• Type de pile : CR2450</w:t>
      </w:r>
    </w:p>
    <w:p w14:paraId="54FEB0C9">
      <w:pPr>
        <w:rPr>
          <w:rFonts w:cstheme="minorHAnsi"/>
          <w:sz w:val="22"/>
          <w:szCs w:val="22"/>
          <w:highlight w:val="none"/>
        </w:rPr>
      </w:pPr>
      <w:r>
        <w:rPr>
          <w:rFonts w:cstheme="minorHAnsi"/>
          <w:sz w:val="22"/>
          <w:szCs w:val="22"/>
          <w:highlight w:val="none"/>
        </w:rPr>
        <w:t>• Tension nominale : 3V</w:t>
      </w:r>
    </w:p>
    <w:p w14:paraId="49D0E377">
      <w:pPr>
        <w:rPr>
          <w:rFonts w:cstheme="minorHAnsi"/>
          <w:sz w:val="22"/>
          <w:szCs w:val="22"/>
          <w:highlight w:val="none"/>
        </w:rPr>
      </w:pPr>
      <w:r>
        <w:rPr>
          <w:rFonts w:cstheme="minorHAnsi"/>
          <w:sz w:val="22"/>
          <w:szCs w:val="22"/>
          <w:highlight w:val="none"/>
        </w:rPr>
        <w:t xml:space="preserve">• </w:t>
      </w:r>
      <w:r>
        <w:rPr>
          <w:rFonts w:cstheme="minorHAnsi"/>
          <w:b/>
          <w:bCs/>
          <w:sz w:val="22"/>
          <w:szCs w:val="22"/>
          <w:highlight w:val="none"/>
        </w:rPr>
        <w:t>RISQUE D'INGESTION</w:t>
      </w:r>
      <w:r>
        <w:rPr>
          <w:rFonts w:cstheme="minorHAnsi"/>
          <w:sz w:val="22"/>
          <w:szCs w:val="22"/>
          <w:highlight w:val="none"/>
        </w:rPr>
        <w:t>: Ce produit contient une pile bouton ou une pile pièce.</w:t>
      </w:r>
    </w:p>
    <w:p w14:paraId="6DB31AE7">
      <w:pPr>
        <w:rPr>
          <w:rFonts w:cstheme="minorHAnsi"/>
          <w:sz w:val="22"/>
          <w:szCs w:val="22"/>
          <w:highlight w:val="none"/>
        </w:rPr>
      </w:pPr>
      <w:r>
        <w:rPr>
          <w:rFonts w:cstheme="minorHAnsi"/>
          <w:sz w:val="22"/>
          <w:szCs w:val="22"/>
          <w:highlight w:val="none"/>
        </w:rPr>
        <w:t xml:space="preserve">• </w:t>
      </w:r>
      <w:r>
        <w:rPr>
          <w:rFonts w:cstheme="minorHAnsi"/>
          <w:b/>
          <w:bCs/>
          <w:sz w:val="22"/>
          <w:szCs w:val="22"/>
          <w:highlight w:val="none"/>
        </w:rPr>
        <w:t>MORT</w:t>
      </w:r>
      <w:r>
        <w:rPr>
          <w:rFonts w:cstheme="minorHAnsi"/>
          <w:sz w:val="22"/>
          <w:szCs w:val="22"/>
          <w:highlight w:val="none"/>
        </w:rPr>
        <w:t xml:space="preserve"> ou blessures graves peuvent survenir en cas d'ingestion.</w:t>
      </w:r>
    </w:p>
    <w:p w14:paraId="0B1C057C">
      <w:pPr>
        <w:rPr>
          <w:rFonts w:cstheme="minorHAnsi"/>
          <w:sz w:val="22"/>
          <w:szCs w:val="22"/>
          <w:highlight w:val="none"/>
        </w:rPr>
      </w:pPr>
      <w:r>
        <w:rPr>
          <w:rFonts w:cstheme="minorHAnsi"/>
          <w:sz w:val="22"/>
          <w:szCs w:val="22"/>
          <w:highlight w:val="none"/>
        </w:rPr>
        <w:t xml:space="preserve">• Une pile bouton ou une pile pièce avalée peut provoquer des </w:t>
      </w:r>
      <w:r>
        <w:rPr>
          <w:rFonts w:cstheme="minorHAnsi"/>
          <w:b/>
          <w:bCs/>
          <w:sz w:val="22"/>
          <w:szCs w:val="22"/>
          <w:highlight w:val="none"/>
        </w:rPr>
        <w:t>brûlures chimiques internes</w:t>
      </w:r>
      <w:r>
        <w:rPr>
          <w:rFonts w:cstheme="minorHAnsi"/>
          <w:sz w:val="22"/>
          <w:szCs w:val="22"/>
          <w:highlight w:val="none"/>
        </w:rPr>
        <w:t xml:space="preserve"> en aussi peu que </w:t>
      </w:r>
      <w:r>
        <w:rPr>
          <w:rFonts w:cstheme="minorHAnsi"/>
          <w:b/>
          <w:bCs/>
          <w:sz w:val="22"/>
          <w:szCs w:val="22"/>
          <w:highlight w:val="none"/>
        </w:rPr>
        <w:t>2 heures</w:t>
      </w:r>
      <w:r>
        <w:rPr>
          <w:rFonts w:cstheme="minorHAnsi"/>
          <w:sz w:val="22"/>
          <w:szCs w:val="22"/>
          <w:highlight w:val="none"/>
        </w:rPr>
        <w:t>.</w:t>
      </w:r>
    </w:p>
    <w:p w14:paraId="4D0B195F">
      <w:pPr>
        <w:rPr>
          <w:rFonts w:hint="eastAsia" w:eastAsia="宋体" w:cstheme="minorHAnsi"/>
          <w:b/>
          <w:bCs/>
          <w:sz w:val="22"/>
          <w:szCs w:val="22"/>
          <w:highlight w:val="none"/>
          <w:lang w:val="en-US" w:eastAsia="zh-CN"/>
        </w:rPr>
      </w:pPr>
      <w:r>
        <w:rPr>
          <w:rFonts w:cstheme="minorHAnsi"/>
          <w:sz w:val="22"/>
          <w:szCs w:val="22"/>
          <w:highlight w:val="none"/>
        </w:rPr>
        <w:t xml:space="preserve">• </w:t>
      </w:r>
      <w:r>
        <w:rPr>
          <w:rFonts w:cstheme="minorHAnsi"/>
          <w:b/>
          <w:bCs/>
          <w:sz w:val="22"/>
          <w:szCs w:val="22"/>
          <w:highlight w:val="none"/>
        </w:rPr>
        <w:t>GARDER</w:t>
      </w:r>
      <w:r>
        <w:rPr>
          <w:rFonts w:cstheme="minorHAnsi"/>
          <w:sz w:val="22"/>
          <w:szCs w:val="22"/>
          <w:highlight w:val="none"/>
        </w:rPr>
        <w:t xml:space="preserve"> les piles neuves et usagées </w:t>
      </w:r>
      <w:r>
        <w:rPr>
          <w:rFonts w:cstheme="minorHAnsi"/>
          <w:b/>
          <w:bCs/>
          <w:sz w:val="22"/>
          <w:szCs w:val="22"/>
          <w:highlight w:val="none"/>
        </w:rPr>
        <w:t>HORS DE PORTÉE DES ENFANTS</w:t>
      </w:r>
      <w:r>
        <w:rPr>
          <w:rFonts w:cstheme="minorHAnsi"/>
          <w:sz w:val="22"/>
          <w:szCs w:val="22"/>
          <w:highlight w:val="none"/>
        </w:rPr>
        <w:t>.</w:t>
      </w:r>
    </w:p>
    <w:p w14:paraId="3DD93B9C">
      <w:pPr>
        <w:rPr>
          <w:rFonts w:cstheme="minorHAnsi"/>
          <w:sz w:val="22"/>
          <w:szCs w:val="22"/>
          <w:highlight w:val="none"/>
        </w:rPr>
      </w:pPr>
      <w:r>
        <w:rPr>
          <w:rFonts w:cstheme="minorHAnsi"/>
          <w:sz w:val="22"/>
          <w:szCs w:val="22"/>
          <w:highlight w:val="none"/>
        </w:rPr>
        <w:t xml:space="preserve">• </w:t>
      </w:r>
      <w:r>
        <w:rPr>
          <w:rFonts w:cstheme="minorHAnsi"/>
          <w:b/>
          <w:bCs/>
          <w:sz w:val="22"/>
          <w:szCs w:val="22"/>
          <w:highlight w:val="none"/>
        </w:rPr>
        <w:t>Consultez immédiatement un médecin</w:t>
      </w:r>
      <w:r>
        <w:rPr>
          <w:rFonts w:cstheme="minorHAnsi"/>
          <w:sz w:val="22"/>
          <w:szCs w:val="22"/>
          <w:highlight w:val="none"/>
        </w:rPr>
        <w:t xml:space="preserve"> si une pile est suspectée d'avoir été avalée ou insérée dans une partie quelconque du corps.</w:t>
      </w:r>
    </w:p>
    <w:p w14:paraId="4E2ECAD0">
      <w:pPr>
        <w:rPr>
          <w:rFonts w:cstheme="minorHAnsi"/>
          <w:sz w:val="22"/>
          <w:szCs w:val="22"/>
          <w:highlight w:val="none"/>
        </w:rPr>
      </w:pPr>
      <w:r>
        <w:rPr>
          <w:rFonts w:cstheme="minorHAnsi"/>
          <w:sz w:val="22"/>
          <w:szCs w:val="22"/>
          <w:highlight w:val="none"/>
        </w:rPr>
        <w:t>a) Retirez et recyclez ou éliminez immédiatement les piles usagées conformément aux réglementations locales</w:t>
      </w:r>
      <w:r>
        <w:rPr>
          <w:rFonts w:hint="eastAsia" w:eastAsia="宋体" w:cstheme="minorHAnsi"/>
          <w:sz w:val="22"/>
          <w:szCs w:val="22"/>
          <w:highlight w:val="none"/>
          <w:lang w:val="en-US" w:eastAsia="zh-CN"/>
        </w:rPr>
        <w:t xml:space="preserve"> </w:t>
      </w:r>
      <w:r>
        <w:rPr>
          <w:rFonts w:cstheme="minorHAnsi"/>
          <w:sz w:val="22"/>
          <w:szCs w:val="22"/>
          <w:highlight w:val="none"/>
        </w:rPr>
        <w:t>et gardez-les hors de portée des enfants. NE PAS jeter les piles avec les ordures ménagères ni les incinérer.</w:t>
      </w:r>
    </w:p>
    <w:p w14:paraId="7427605B">
      <w:pPr>
        <w:rPr>
          <w:rFonts w:cstheme="minorHAnsi"/>
          <w:sz w:val="22"/>
          <w:szCs w:val="22"/>
          <w:highlight w:val="none"/>
        </w:rPr>
      </w:pPr>
      <w:r>
        <w:rPr>
          <w:rFonts w:cstheme="minorHAnsi"/>
          <w:sz w:val="22"/>
          <w:szCs w:val="22"/>
          <w:highlight w:val="none"/>
        </w:rPr>
        <w:t>b) Même les piles usagées peuvent provoquer des blessures graves ou la mort.</w:t>
      </w:r>
    </w:p>
    <w:p w14:paraId="25A87840">
      <w:pPr>
        <w:rPr>
          <w:rFonts w:cstheme="minorHAnsi"/>
          <w:sz w:val="22"/>
          <w:szCs w:val="22"/>
          <w:highlight w:val="none"/>
        </w:rPr>
      </w:pPr>
      <w:r>
        <w:rPr>
          <w:rFonts w:cstheme="minorHAnsi"/>
          <w:sz w:val="22"/>
          <w:szCs w:val="22"/>
          <w:highlight w:val="none"/>
        </w:rPr>
        <w:t>c) Appelez un centre antipoison local pour obtenir des informations sur le traitement.</w:t>
      </w:r>
    </w:p>
    <w:p w14:paraId="4B19E606">
      <w:pPr>
        <w:rPr>
          <w:rFonts w:cstheme="minorHAnsi"/>
          <w:sz w:val="22"/>
          <w:szCs w:val="22"/>
          <w:highlight w:val="none"/>
        </w:rPr>
      </w:pPr>
      <w:r>
        <w:rPr>
          <w:rFonts w:cstheme="minorHAnsi"/>
          <w:sz w:val="22"/>
          <w:szCs w:val="22"/>
          <w:highlight w:val="none"/>
        </w:rPr>
        <w:t>d) Les piles non rechargeables ne doivent pas être rechargées.</w:t>
      </w:r>
    </w:p>
    <w:p w14:paraId="3B9A458D">
      <w:pPr>
        <w:rPr>
          <w:rFonts w:cstheme="minorHAnsi"/>
          <w:sz w:val="22"/>
          <w:szCs w:val="22"/>
          <w:highlight w:val="none"/>
        </w:rPr>
      </w:pPr>
      <w:r>
        <w:rPr>
          <w:rFonts w:cstheme="minorHAnsi"/>
          <w:sz w:val="22"/>
          <w:szCs w:val="22"/>
          <w:highlight w:val="none"/>
        </w:rPr>
        <w:t xml:space="preserve">e) Ne forcez pas la décharge, ne rechargez pas, ne démontez pas, ne chauffez pas au-delà de la température spécifiée par le fabricant et n'incinérez pas. Cela peut entraîner des blessures dues à un dégazage, une fuite ou </w:t>
      </w:r>
      <w:bookmarkStart w:id="3" w:name="_GoBack"/>
      <w:bookmarkEnd w:id="3"/>
      <w:r>
        <w:rPr>
          <w:rFonts w:cstheme="minorHAnsi"/>
          <w:sz w:val="22"/>
          <w:szCs w:val="22"/>
          <w:highlight w:val="none"/>
        </w:rPr>
        <w:t>une explosion provoquant des brûlures chimiques.</w:t>
      </w:r>
    </w:p>
    <w:p w14:paraId="286B161B">
      <w:pPr>
        <w:rPr>
          <w:rFonts w:cstheme="minorHAnsi"/>
          <w:sz w:val="22"/>
          <w:szCs w:val="22"/>
          <w:highlight w:val="none"/>
        </w:rPr>
      </w:pPr>
      <w:r>
        <w:rPr>
          <w:rFonts w:cstheme="minorHAnsi"/>
          <w:sz w:val="22"/>
          <w:szCs w:val="22"/>
          <w:highlight w:val="none"/>
        </w:rPr>
        <w:t>f) Assurez-vous que les piles sont installées correctement selon la polarité (+ et -).</w:t>
      </w:r>
    </w:p>
    <w:p w14:paraId="2F3BC228">
      <w:pPr>
        <w:rPr>
          <w:rFonts w:cstheme="minorHAnsi"/>
          <w:sz w:val="22"/>
          <w:szCs w:val="22"/>
          <w:highlight w:val="none"/>
        </w:rPr>
      </w:pPr>
      <w:r>
        <w:rPr>
          <w:rFonts w:cstheme="minorHAnsi"/>
          <w:sz w:val="22"/>
          <w:szCs w:val="22"/>
          <w:highlight w:val="none"/>
        </w:rPr>
        <w:t>g) Ne mélangez pas des piles anciennes et neuves, ni des piles de marques ou de types différents, telles que des piles alcalines, carbone-zinc ou rechargeables.</w:t>
      </w:r>
    </w:p>
    <w:p w14:paraId="229442CA">
      <w:pPr>
        <w:rPr>
          <w:rFonts w:cstheme="minorHAnsi"/>
          <w:sz w:val="22"/>
          <w:szCs w:val="22"/>
          <w:highlight w:val="none"/>
        </w:rPr>
      </w:pPr>
      <w:r>
        <w:rPr>
          <w:rFonts w:cstheme="minorHAnsi"/>
          <w:sz w:val="22"/>
          <w:szCs w:val="22"/>
          <w:highlight w:val="none"/>
        </w:rPr>
        <w:t>h) Retirez et recyclez ou éliminez immédiatement les piles des équipements qui ne sont pas utilisés pendant une période prolongée, conformément aux réglementations locales.</w:t>
      </w:r>
    </w:p>
    <w:p w14:paraId="2CD2F316">
      <w:pPr>
        <w:rPr>
          <w:rFonts w:cstheme="minorHAnsi"/>
          <w:sz w:val="22"/>
          <w:szCs w:val="22"/>
          <w:highlight w:val="none"/>
        </w:rPr>
      </w:pPr>
      <w:r>
        <w:rPr>
          <w:rFonts w:cstheme="minorHAnsi"/>
          <w:sz w:val="22"/>
          <w:szCs w:val="22"/>
          <w:highlight w:val="none"/>
        </w:rPr>
        <w:t>i) Assurez-vous toujours que le compartiment à piles est complètement sécurisé. Si le compartiment à piles ne se ferme pas correctement, cessez d'utiliser le produit, retirez les piles et gardez-les hors de portée des enfants.</w:t>
      </w:r>
    </w:p>
    <w:p w14:paraId="33C45335">
      <w:pPr>
        <w:rPr>
          <w:rFonts w:cstheme="minorHAnsi"/>
          <w:b/>
          <w:bCs/>
          <w:sz w:val="22"/>
          <w:szCs w:val="22"/>
          <w:highlight w:val="none"/>
        </w:rPr>
      </w:pPr>
    </w:p>
    <w:p w14:paraId="0940CA82">
      <w:pPr>
        <w:rPr>
          <w:rFonts w:cstheme="minorHAnsi"/>
          <w:sz w:val="22"/>
          <w:szCs w:val="22"/>
          <w:highlight w:val="none"/>
        </w:rPr>
      </w:pPr>
      <w:r>
        <w:rPr>
          <w:rFonts w:cstheme="minorHAnsi"/>
          <w:b/>
          <w:bCs/>
          <w:sz w:val="22"/>
          <w:szCs w:val="22"/>
          <w:highlight w:val="none"/>
        </w:rPr>
        <w:t>DONNÉES TECHNIQUES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F49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5A59E6B">
            <w:pPr>
              <w:rPr>
                <w:rFonts w:eastAsia="宋体" w:cstheme="minorHAnsi"/>
                <w:sz w:val="22"/>
                <w:szCs w:val="22"/>
                <w:highlight w:val="none"/>
              </w:rPr>
            </w:pPr>
            <w:r>
              <w:rPr>
                <w:rFonts w:eastAsia="宋体" w:cstheme="minorHAnsi"/>
                <w:sz w:val="22"/>
                <w:szCs w:val="22"/>
                <w:highlight w:val="none"/>
              </w:rPr>
              <w:t>Précision</w:t>
            </w:r>
          </w:p>
        </w:tc>
        <w:tc>
          <w:tcPr>
            <w:tcW w:w="4261" w:type="dxa"/>
          </w:tcPr>
          <w:p w14:paraId="0DBB2366">
            <w:pPr>
              <w:rPr>
                <w:rFonts w:cstheme="minorHAnsi"/>
                <w:sz w:val="22"/>
                <w:szCs w:val="22"/>
                <w:highlight w:val="none"/>
              </w:rPr>
            </w:pPr>
            <w:r>
              <w:rPr>
                <w:rFonts w:eastAsia="宋体" w:cstheme="minorHAnsi"/>
                <w:sz w:val="22"/>
                <w:szCs w:val="22"/>
                <w:highlight w:val="none"/>
              </w:rPr>
              <w:t>±1° (dans des conditions d'affûtage typiques)</w:t>
            </w:r>
          </w:p>
        </w:tc>
      </w:tr>
      <w:tr w14:paraId="4D58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B5F0439">
            <w:pPr>
              <w:rPr>
                <w:rFonts w:eastAsia="宋体" w:cstheme="minorHAnsi"/>
                <w:sz w:val="22"/>
                <w:szCs w:val="22"/>
                <w:highlight w:val="none"/>
              </w:rPr>
            </w:pPr>
            <w:r>
              <w:rPr>
                <w:rFonts w:eastAsia="宋体" w:cstheme="minorHAnsi"/>
                <w:sz w:val="22"/>
                <w:szCs w:val="22"/>
                <w:highlight w:val="none"/>
              </w:rPr>
              <w:t>Résolution</w:t>
            </w:r>
          </w:p>
        </w:tc>
        <w:tc>
          <w:tcPr>
            <w:tcW w:w="4261" w:type="dxa"/>
          </w:tcPr>
          <w:p w14:paraId="7731D22D">
            <w:pPr>
              <w:rPr>
                <w:rFonts w:eastAsia="宋体" w:cstheme="minorHAnsi"/>
                <w:sz w:val="22"/>
                <w:szCs w:val="22"/>
                <w:highlight w:val="none"/>
              </w:rPr>
            </w:pPr>
            <w:r>
              <w:rPr>
                <w:rFonts w:eastAsia="宋体" w:cstheme="minorHAnsi"/>
                <w:sz w:val="22"/>
                <w:szCs w:val="22"/>
                <w:highlight w:val="none"/>
              </w:rPr>
              <w:t>1°</w:t>
            </w:r>
          </w:p>
        </w:tc>
      </w:tr>
      <w:tr w14:paraId="308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7E9C62A">
            <w:pPr>
              <w:rPr>
                <w:rFonts w:eastAsia="宋体" w:cstheme="minorHAnsi"/>
                <w:sz w:val="22"/>
                <w:szCs w:val="22"/>
                <w:highlight w:val="none"/>
              </w:rPr>
            </w:pPr>
            <w:r>
              <w:rPr>
                <w:rFonts w:eastAsia="宋体" w:cstheme="minorHAnsi"/>
                <w:sz w:val="22"/>
                <w:szCs w:val="22"/>
                <w:highlight w:val="none"/>
              </w:rPr>
              <w:t>Plage de mesure</w:t>
            </w:r>
          </w:p>
        </w:tc>
        <w:tc>
          <w:tcPr>
            <w:tcW w:w="4261" w:type="dxa"/>
          </w:tcPr>
          <w:p w14:paraId="0E6414F9">
            <w:pPr>
              <w:rPr>
                <w:rFonts w:cstheme="minorHAnsi"/>
                <w:sz w:val="22"/>
                <w:szCs w:val="22"/>
                <w:highlight w:val="none"/>
              </w:rPr>
            </w:pPr>
            <w:r>
              <w:rPr>
                <w:rFonts w:eastAsia="宋体" w:cstheme="minorHAnsi"/>
                <w:sz w:val="22"/>
                <w:szCs w:val="22"/>
                <w:highlight w:val="none"/>
              </w:rPr>
              <w:t xml:space="preserve">0 - 80° </w:t>
            </w:r>
          </w:p>
        </w:tc>
      </w:tr>
      <w:tr w14:paraId="110B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60857C6">
            <w:pPr>
              <w:rPr>
                <w:rFonts w:cstheme="minorHAnsi"/>
                <w:sz w:val="22"/>
                <w:szCs w:val="22"/>
                <w:highlight w:val="none"/>
              </w:rPr>
            </w:pPr>
            <w:r>
              <w:rPr>
                <w:rFonts w:eastAsia="宋体" w:cstheme="minorHAnsi"/>
                <w:sz w:val="22"/>
                <w:szCs w:val="22"/>
                <w:highlight w:val="none"/>
              </w:rPr>
              <w:t>Pile</w:t>
            </w:r>
          </w:p>
        </w:tc>
        <w:tc>
          <w:tcPr>
            <w:tcW w:w="4261" w:type="dxa"/>
          </w:tcPr>
          <w:p w14:paraId="091BF829">
            <w:pPr>
              <w:rPr>
                <w:rFonts w:cstheme="minorHAnsi"/>
                <w:sz w:val="22"/>
                <w:szCs w:val="22"/>
                <w:highlight w:val="none"/>
              </w:rPr>
            </w:pPr>
            <w:r>
              <w:rPr>
                <w:rFonts w:eastAsia="宋体" w:cstheme="minorHAnsi"/>
                <w:sz w:val="22"/>
                <w:szCs w:val="22"/>
                <w:highlight w:val="none"/>
              </w:rPr>
              <w:t>CR2450 3V (remplaçable, 1 pile de rechange incluse)</w:t>
            </w:r>
          </w:p>
        </w:tc>
      </w:tr>
      <w:tr w14:paraId="4C12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40287D0">
            <w:pPr>
              <w:rPr>
                <w:rFonts w:eastAsia="宋体" w:cstheme="minorHAnsi"/>
                <w:sz w:val="22"/>
                <w:szCs w:val="22"/>
                <w:highlight w:val="none"/>
              </w:rPr>
            </w:pPr>
            <w:r>
              <w:rPr>
                <w:rFonts w:eastAsia="宋体" w:cstheme="minorHAnsi"/>
                <w:sz w:val="22"/>
                <w:szCs w:val="22"/>
                <w:highlight w:val="none"/>
              </w:rPr>
              <w:t>Tournevis</w:t>
            </w:r>
          </w:p>
        </w:tc>
        <w:tc>
          <w:tcPr>
            <w:tcW w:w="4261" w:type="dxa"/>
          </w:tcPr>
          <w:p w14:paraId="4020F98C">
            <w:pPr>
              <w:rPr>
                <w:rFonts w:eastAsia="宋体" w:cstheme="minorHAnsi"/>
                <w:sz w:val="22"/>
                <w:szCs w:val="22"/>
                <w:highlight w:val="none"/>
              </w:rPr>
            </w:pPr>
            <w:r>
              <w:rPr>
                <w:rFonts w:eastAsia="宋体" w:cstheme="minorHAnsi"/>
                <w:sz w:val="22"/>
                <w:szCs w:val="22"/>
                <w:highlight w:val="none"/>
              </w:rPr>
              <w:t>Inclus</w:t>
            </w:r>
          </w:p>
        </w:tc>
      </w:tr>
      <w:tr w14:paraId="4BAB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6DB5017">
            <w:pPr>
              <w:rPr>
                <w:rFonts w:eastAsia="宋体" w:cstheme="minorHAnsi"/>
                <w:sz w:val="22"/>
                <w:szCs w:val="22"/>
                <w:highlight w:val="none"/>
              </w:rPr>
            </w:pPr>
            <w:r>
              <w:rPr>
                <w:rFonts w:eastAsia="宋体" w:cstheme="minorHAnsi"/>
                <w:sz w:val="22"/>
                <w:szCs w:val="22"/>
                <w:highlight w:val="none"/>
              </w:rPr>
              <w:t>Indice de protection</w:t>
            </w:r>
          </w:p>
        </w:tc>
        <w:tc>
          <w:tcPr>
            <w:tcW w:w="4261" w:type="dxa"/>
          </w:tcPr>
          <w:p w14:paraId="569C77C4">
            <w:pPr>
              <w:rPr>
                <w:rFonts w:cstheme="minorHAnsi"/>
                <w:sz w:val="22"/>
                <w:szCs w:val="22"/>
                <w:highlight w:val="none"/>
              </w:rPr>
            </w:pPr>
            <w:r>
              <w:rPr>
                <w:rFonts w:eastAsia="宋体" w:cstheme="minorHAnsi"/>
                <w:sz w:val="22"/>
                <w:szCs w:val="22"/>
                <w:highlight w:val="none"/>
              </w:rPr>
              <w:t>IP54</w:t>
            </w:r>
          </w:p>
        </w:tc>
      </w:tr>
      <w:tr w14:paraId="18D5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F32F1C5">
            <w:pPr>
              <w:rPr>
                <w:rFonts w:cstheme="minorHAnsi"/>
                <w:sz w:val="22"/>
                <w:szCs w:val="22"/>
                <w:highlight w:val="none"/>
              </w:rPr>
            </w:pPr>
            <w:r>
              <w:rPr>
                <w:rFonts w:eastAsia="宋体" w:cstheme="minorHAnsi"/>
                <w:sz w:val="22"/>
                <w:szCs w:val="22"/>
                <w:highlight w:val="none"/>
              </w:rPr>
              <w:t>Température de fonctionnement</w:t>
            </w:r>
          </w:p>
        </w:tc>
        <w:tc>
          <w:tcPr>
            <w:tcW w:w="4261" w:type="dxa"/>
          </w:tcPr>
          <w:p w14:paraId="3071CD16">
            <w:pPr>
              <w:rPr>
                <w:rFonts w:cstheme="minorHAnsi"/>
                <w:sz w:val="22"/>
                <w:szCs w:val="22"/>
                <w:highlight w:val="none"/>
              </w:rPr>
            </w:pPr>
            <w:r>
              <w:rPr>
                <w:rFonts w:eastAsia="宋体" w:cstheme="minorHAnsi"/>
                <w:sz w:val="22"/>
                <w:szCs w:val="22"/>
                <w:highlight w:val="none"/>
              </w:rPr>
              <w:t>32°F - 104°F (0°C - 40°C)</w:t>
            </w:r>
          </w:p>
        </w:tc>
      </w:tr>
    </w:tbl>
    <w:p w14:paraId="203524E1">
      <w:pPr>
        <w:widowControl/>
        <w:jc w:val="left"/>
        <w:rPr>
          <w:rFonts w:eastAsia="宋体" w:cstheme="minorHAnsi"/>
          <w:kern w:val="0"/>
          <w:sz w:val="22"/>
          <w:szCs w:val="22"/>
          <w:highlight w:val="none"/>
          <w:lang w:bidi="ar"/>
        </w:rPr>
      </w:pPr>
      <w:r>
        <w:rPr>
          <w:rFonts w:eastAsia="宋体" w:cstheme="minorHAnsi"/>
          <w:b/>
          <w:bCs/>
          <w:kern w:val="0"/>
          <w:sz w:val="22"/>
          <w:szCs w:val="22"/>
          <w:highlight w:val="none"/>
          <w:lang w:bidi="ar"/>
        </w:rPr>
        <w:t xml:space="preserve">Remarque : </w:t>
      </w:r>
      <w:r>
        <w:rPr>
          <w:rFonts w:eastAsia="宋体" w:cstheme="minorHAnsi"/>
          <w:kern w:val="0"/>
          <w:sz w:val="22"/>
          <w:szCs w:val="22"/>
          <w:highlight w:val="none"/>
          <w:lang w:bidi="ar"/>
        </w:rPr>
        <w:t>Cet appareil est conçu pour être utilisé pendant l'affûtage réel plutôt que pour une mesure statique.</w:t>
      </w:r>
    </w:p>
    <w:p w14:paraId="31D47F5D">
      <w:pPr>
        <w:widowControl/>
        <w:jc w:val="left"/>
        <w:rPr>
          <w:rFonts w:eastAsia="宋体" w:cstheme="minorHAnsi"/>
          <w:kern w:val="0"/>
          <w:sz w:val="22"/>
          <w:szCs w:val="22"/>
          <w:highlight w:val="none"/>
          <w:lang w:bidi="ar"/>
        </w:rPr>
      </w:pPr>
    </w:p>
    <w:p w14:paraId="4026F265">
      <w:pPr>
        <w:widowControl/>
        <w:jc w:val="left"/>
        <w:rPr>
          <w:rFonts w:eastAsia="宋体" w:cstheme="minorHAnsi"/>
          <w:kern w:val="0"/>
          <w:sz w:val="22"/>
          <w:szCs w:val="22"/>
          <w:highlight w:val="none"/>
          <w:lang w:bidi="ar"/>
        </w:rPr>
      </w:pPr>
      <w:r>
        <w:rPr>
          <w:rFonts w:eastAsia="宋体" w:cstheme="minorHAnsi"/>
          <w:kern w:val="0"/>
          <w:sz w:val="22"/>
          <w:szCs w:val="22"/>
          <w:highlight w:val="none"/>
          <w:lang w:bidi="ar"/>
        </w:rPr>
        <w:t>Dans des conditions d'affûtage typiques, par exemple avec une pierre à affûter de 8"x 3" ( 203 x 76 mm ) utilisée à une vitesse contrôlée (moins de 30 allers-retours par minute), la fluctuation de l'angle peut être maintenue dans une plage de ±1°.</w:t>
      </w:r>
    </w:p>
    <w:p w14:paraId="312DDDD7">
      <w:pPr>
        <w:widowControl/>
        <w:jc w:val="left"/>
        <w:rPr>
          <w:rFonts w:eastAsia="宋体" w:cstheme="minorHAnsi"/>
          <w:b/>
          <w:bCs/>
          <w:kern w:val="0"/>
          <w:sz w:val="22"/>
          <w:szCs w:val="22"/>
          <w:highlight w:val="none"/>
          <w:lang w:bidi="ar"/>
        </w:rPr>
      </w:pPr>
    </w:p>
    <w:p w14:paraId="05A0FA58">
      <w:pPr>
        <w:widowControl/>
        <w:jc w:val="left"/>
        <w:rPr>
          <w:rFonts w:eastAsia="宋体" w:cstheme="minorHAnsi"/>
          <w:kern w:val="0"/>
          <w:sz w:val="22"/>
          <w:szCs w:val="22"/>
          <w:highlight w:val="none"/>
        </w:rPr>
      </w:pPr>
      <w:r>
        <w:rPr>
          <w:rFonts w:eastAsia="宋体" w:cstheme="minorHAnsi"/>
          <w:b/>
          <w:bCs/>
          <w:kern w:val="0"/>
          <w:sz w:val="22"/>
          <w:szCs w:val="22"/>
          <w:highlight w:val="none"/>
          <w:lang w:bidi="ar"/>
        </w:rPr>
        <w:t>APERÇU DU PRODUIT</w:t>
      </w:r>
    </w:p>
    <w:p w14:paraId="0BB0A4BD">
      <w:pPr>
        <w:widowControl/>
        <w:jc w:val="left"/>
        <w:rPr>
          <w:rFonts w:eastAsia="等线" w:cstheme="minorHAnsi"/>
          <w:kern w:val="0"/>
          <w:sz w:val="22"/>
          <w:szCs w:val="22"/>
          <w:highlight w:val="none"/>
        </w:rPr>
      </w:pPr>
      <w:r>
        <w:rPr>
          <w:rFonts w:eastAsia="等线" w:cstheme="minorHAnsi"/>
          <w:kern w:val="0"/>
          <w:sz w:val="22"/>
          <w:szCs w:val="22"/>
          <w:highlight w:val="none"/>
        </w:rPr>
        <w:t>Cet entraîneur numérique d'angle d'affûtage est conçu comme un outil d'entraînement à l'affûtage plutôt que comme un instrument de mesure de précision traditionnel.</w:t>
      </w:r>
    </w:p>
    <w:p w14:paraId="12ACA4EE">
      <w:pPr>
        <w:widowControl/>
        <w:jc w:val="left"/>
        <w:rPr>
          <w:rFonts w:eastAsia="等线" w:cstheme="minorHAnsi"/>
          <w:kern w:val="0"/>
          <w:sz w:val="22"/>
          <w:szCs w:val="22"/>
          <w:highlight w:val="none"/>
        </w:rPr>
      </w:pPr>
      <w:r>
        <w:rPr>
          <w:rFonts w:eastAsia="等线" w:cstheme="minorHAnsi"/>
          <w:kern w:val="0"/>
          <w:sz w:val="22"/>
          <w:szCs w:val="22"/>
          <w:highlight w:val="none"/>
        </w:rPr>
        <w:t>Il est destiné à être utilisé pendant les mouvements réels d'affûtage afin d'aider les utilisateurs à développer un contrôle manuel constant et une mémoire musculaire.</w:t>
      </w:r>
    </w:p>
    <w:p w14:paraId="043FEFC5">
      <w:pPr>
        <w:widowControl/>
        <w:jc w:val="left"/>
        <w:rPr>
          <w:rFonts w:eastAsia="等线" w:cstheme="minorHAnsi"/>
          <w:kern w:val="0"/>
          <w:sz w:val="22"/>
          <w:szCs w:val="22"/>
          <w:highlight w:val="none"/>
        </w:rPr>
      </w:pPr>
      <w:r>
        <w:rPr>
          <w:rFonts w:eastAsia="等线" w:cstheme="minorHAnsi"/>
          <w:kern w:val="0"/>
          <w:sz w:val="22"/>
          <w:szCs w:val="22"/>
          <w:highlight w:val="none"/>
        </w:rPr>
        <w:t>Lors de l'affûtage, la constance est plus importante que la précision numérique absolue. Maintenir un angle stable dans une plage de ±1° donne généralement de meilleurs résultats que d'essayer de conserver une lecture fixe exacte.</w:t>
      </w:r>
    </w:p>
    <w:p w14:paraId="23DDF99D">
      <w:pPr>
        <w:widowControl/>
        <w:jc w:val="left"/>
        <w:rPr>
          <w:rFonts w:eastAsia="等线" w:cstheme="minorHAnsi"/>
          <w:kern w:val="0"/>
          <w:sz w:val="22"/>
          <w:szCs w:val="22"/>
          <w:highlight w:val="none"/>
        </w:rPr>
      </w:pPr>
      <w:r>
        <w:rPr>
          <w:rFonts w:eastAsia="等线" w:cstheme="minorHAnsi"/>
          <w:kern w:val="0"/>
          <w:sz w:val="22"/>
          <w:szCs w:val="22"/>
          <w:highlight w:val="none"/>
        </w:rPr>
        <w:t xml:space="preserve">Pour une stabilité optimale, utilisez-le sur des lames </w:t>
      </w:r>
      <w:r>
        <w:rPr>
          <w:rFonts w:eastAsia="等线" w:cstheme="minorHAnsi"/>
          <w:b/>
          <w:bCs/>
          <w:kern w:val="0"/>
          <w:sz w:val="22"/>
          <w:szCs w:val="22"/>
          <w:highlight w:val="none"/>
        </w:rPr>
        <w:t>plus larges que 0,55 pouce ( 14 mm ).</w:t>
      </w:r>
    </w:p>
    <w:p w14:paraId="15BDB37C">
      <w:pPr>
        <w:widowControl/>
        <w:jc w:val="left"/>
        <w:rPr>
          <w:rFonts w:eastAsia="等线" w:cstheme="minorHAnsi"/>
          <w:kern w:val="0"/>
          <w:sz w:val="22"/>
          <w:szCs w:val="22"/>
          <w:highlight w:val="none"/>
        </w:rPr>
      </w:pPr>
      <w:r>
        <w:rPr>
          <w:rFonts w:eastAsia="等线" w:cstheme="minorHAnsi"/>
          <w:kern w:val="0"/>
          <w:sz w:val="22"/>
          <w:szCs w:val="22"/>
          <w:highlight w:val="none"/>
        </w:rPr>
        <w:t>Les lames plus étroites que 0,55 pouce ( 14 mm ) peuvent ne pas offrir une surface de contact suffisante, ce qui peut affecter la stabilité et entraîner des lectures moins constantes.</w:t>
      </w:r>
    </w:p>
    <w:p w14:paraId="299B5F69">
      <w:pPr>
        <w:widowControl/>
        <w:jc w:val="left"/>
        <w:textAlignment w:val="center"/>
        <w:rPr>
          <w:rFonts w:eastAsia="等线" w:cstheme="minorHAnsi"/>
          <w:kern w:val="0"/>
          <w:sz w:val="22"/>
          <w:szCs w:val="22"/>
          <w:highlight w:val="none"/>
        </w:rPr>
      </w:pPr>
    </w:p>
    <w:p w14:paraId="48A7FDEF">
      <w:pPr>
        <w:widowControl/>
        <w:jc w:val="left"/>
        <w:textAlignment w:val="center"/>
        <w:rPr>
          <w:rFonts w:eastAsia="等线" w:cstheme="minorHAnsi"/>
          <w:b/>
          <w:bCs/>
          <w:kern w:val="0"/>
          <w:sz w:val="22"/>
          <w:szCs w:val="22"/>
          <w:highlight w:val="none"/>
        </w:rPr>
      </w:pPr>
      <w:r>
        <w:rPr>
          <w:rFonts w:eastAsia="等线" w:cstheme="minorHAnsi"/>
          <w:b/>
          <w:bCs/>
          <w:kern w:val="0"/>
          <w:sz w:val="22"/>
          <w:szCs w:val="22"/>
          <w:highlight w:val="none"/>
        </w:rPr>
        <w:t>RECOMMANDATION DE VITESSE</w:t>
      </w:r>
    </w:p>
    <w:p w14:paraId="6FC59BE7">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Lors de l'utilisation d'une pierre à affûter de 8"x 3" ( 203 x 76 mm ), maintenez la vitesse d'affûtage en dessous de 30 allers-retours par minute.</w:t>
      </w:r>
    </w:p>
    <w:p w14:paraId="0AFAE435">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Un mouvement plus lent et mieux contrôlé améliore la stabilité de l'angle.</w:t>
      </w:r>
    </w:p>
    <w:p w14:paraId="56117F53">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Un mouvement plus rapide augmente les fluctuations causées par la main et fait fluctuer davantage la lecture.</w:t>
      </w:r>
    </w:p>
    <w:p w14:paraId="784E6439">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Concentrez-vous sur des mouvements lents, réguliers et constants.</w:t>
      </w:r>
    </w:p>
    <w:p w14:paraId="7267CD13">
      <w:pPr>
        <w:widowControl/>
        <w:jc w:val="left"/>
        <w:textAlignment w:val="center"/>
        <w:rPr>
          <w:rFonts w:eastAsia="等线" w:cstheme="minorHAnsi"/>
          <w:kern w:val="0"/>
          <w:sz w:val="22"/>
          <w:szCs w:val="22"/>
          <w:highlight w:val="none"/>
        </w:rPr>
      </w:pPr>
    </w:p>
    <w:p w14:paraId="305804C9">
      <w:pPr>
        <w:widowControl/>
        <w:jc w:val="left"/>
        <w:textAlignment w:val="center"/>
        <w:rPr>
          <w:rFonts w:eastAsia="等线" w:cstheme="minorHAnsi"/>
          <w:kern w:val="0"/>
          <w:sz w:val="22"/>
          <w:szCs w:val="22"/>
          <w:highlight w:val="none"/>
        </w:rPr>
      </w:pPr>
      <w:r>
        <w:rPr>
          <w:rFonts w:eastAsia="等线" w:cstheme="minorHAnsi"/>
          <w:b/>
          <w:bCs/>
          <w:kern w:val="0"/>
          <w:sz w:val="22"/>
          <w:szCs w:val="22"/>
          <w:highlight w:val="none"/>
        </w:rPr>
        <w:t>COMPRENDRE LES LECTURES D'ANGLE</w:t>
      </w:r>
    </w:p>
    <w:p w14:paraId="3BBC57A8">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Cet appareil affiche les changements d'angle en temps réel pendant l'affûtage.</w:t>
      </w:r>
    </w:p>
    <w:p w14:paraId="437B8A31">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Il ne verrouille pas et ne stabilise pas la lecture comme un outil de mesure statique.</w:t>
      </w:r>
    </w:p>
    <w:p w14:paraId="7571628C">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De légères variations sont normales.</w:t>
      </w:r>
    </w:p>
    <w:p w14:paraId="19DE9284">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L'objectif est de maintenir une plage constante ( ±1° ), et non un nombre fixe.</w:t>
      </w:r>
    </w:p>
    <w:p w14:paraId="0AA79CF6">
      <w:pPr>
        <w:widowControl/>
        <w:jc w:val="left"/>
        <w:rPr>
          <w:rFonts w:eastAsia="宋体" w:cstheme="minorHAnsi"/>
          <w:kern w:val="0"/>
          <w:sz w:val="22"/>
          <w:szCs w:val="22"/>
          <w:highlight w:val="none"/>
        </w:rPr>
      </w:pPr>
    </w:p>
    <w:p w14:paraId="5B3D3606">
      <w:pPr>
        <w:widowControl/>
        <w:jc w:val="left"/>
        <w:rPr>
          <w:rFonts w:eastAsia="宋体" w:cstheme="minorHAnsi"/>
          <w:b/>
          <w:bCs/>
          <w:kern w:val="0"/>
          <w:sz w:val="22"/>
          <w:szCs w:val="22"/>
          <w:highlight w:val="none"/>
        </w:rPr>
      </w:pPr>
      <w:r>
        <w:rPr>
          <w:rFonts w:eastAsia="宋体" w:cstheme="minorHAnsi"/>
          <w:b/>
          <w:bCs/>
          <w:kern w:val="0"/>
          <w:sz w:val="22"/>
          <w:szCs w:val="22"/>
          <w:highlight w:val="none"/>
        </w:rPr>
        <w:t>ANGLES D'AFFÛTAGE RECOMMANDÉS</w:t>
      </w:r>
    </w:p>
    <w:tbl>
      <w:tblPr>
        <w:tblStyle w:val="4"/>
        <w:tblW w:w="8719" w:type="dxa"/>
        <w:tblInd w:w="100" w:type="dxa"/>
        <w:tblLayout w:type="autofit"/>
        <w:tblCellMar>
          <w:top w:w="0" w:type="dxa"/>
          <w:left w:w="108" w:type="dxa"/>
          <w:bottom w:w="0" w:type="dxa"/>
          <w:right w:w="108" w:type="dxa"/>
        </w:tblCellMar>
      </w:tblPr>
      <w:tblGrid>
        <w:gridCol w:w="6529"/>
        <w:gridCol w:w="2190"/>
      </w:tblGrid>
      <w:tr w14:paraId="0FCFA95F">
        <w:tblPrEx>
          <w:tblCellMar>
            <w:top w:w="0" w:type="dxa"/>
            <w:left w:w="108" w:type="dxa"/>
            <w:bottom w:w="0" w:type="dxa"/>
            <w:right w:w="108" w:type="dxa"/>
          </w:tblCellMar>
        </w:tblPrEx>
        <w:trPr>
          <w:trHeight w:val="278" w:hRule="atLeast"/>
        </w:trPr>
        <w:tc>
          <w:tcPr>
            <w:tcW w:w="6529" w:type="dxa"/>
            <w:tcBorders>
              <w:top w:val="single" w:color="auto" w:sz="4" w:space="0"/>
              <w:left w:val="single" w:color="auto" w:sz="4" w:space="0"/>
              <w:bottom w:val="single" w:color="auto" w:sz="4" w:space="0"/>
              <w:right w:val="single" w:color="auto" w:sz="4" w:space="0"/>
            </w:tcBorders>
            <w:shd w:val="clear" w:color="000000" w:fill="484F79"/>
            <w:vAlign w:val="bottom"/>
          </w:tcPr>
          <w:p w14:paraId="564E67E9">
            <w:pPr>
              <w:widowControl/>
              <w:jc w:val="center"/>
              <w:textAlignment w:val="bottom"/>
              <w:rPr>
                <w:rFonts w:eastAsia="等线" w:cstheme="minorHAnsi"/>
                <w:b/>
                <w:bCs/>
                <w:sz w:val="22"/>
                <w:szCs w:val="22"/>
                <w:highlight w:val="none"/>
              </w:rPr>
            </w:pPr>
            <w:r>
              <w:rPr>
                <w:rFonts w:eastAsia="等线" w:cstheme="minorHAnsi"/>
                <w:kern w:val="0"/>
                <w:sz w:val="22"/>
                <w:szCs w:val="22"/>
                <w:highlight w:val="none"/>
                <w:lang w:bidi="ar"/>
              </w:rPr>
              <w:t>Type de couteau ou d'outil</w:t>
            </w:r>
          </w:p>
        </w:tc>
        <w:tc>
          <w:tcPr>
            <w:tcW w:w="2190" w:type="dxa"/>
            <w:tcBorders>
              <w:top w:val="single" w:color="auto" w:sz="4" w:space="0"/>
              <w:left w:val="nil"/>
              <w:bottom w:val="single" w:color="auto" w:sz="4" w:space="0"/>
              <w:right w:val="single" w:color="auto" w:sz="4" w:space="0"/>
            </w:tcBorders>
            <w:shd w:val="clear" w:color="000000" w:fill="484F79"/>
            <w:vAlign w:val="bottom"/>
          </w:tcPr>
          <w:p w14:paraId="18F5266C">
            <w:pPr>
              <w:widowControl/>
              <w:jc w:val="center"/>
              <w:textAlignment w:val="bottom"/>
              <w:rPr>
                <w:rFonts w:eastAsia="等线" w:cstheme="minorHAnsi"/>
                <w:b/>
                <w:bCs/>
                <w:sz w:val="22"/>
                <w:szCs w:val="22"/>
                <w:highlight w:val="none"/>
              </w:rPr>
            </w:pPr>
            <w:r>
              <w:rPr>
                <w:rFonts w:eastAsia="等线" w:cstheme="minorHAnsi"/>
                <w:kern w:val="0"/>
                <w:sz w:val="22"/>
                <w:szCs w:val="22"/>
                <w:highlight w:val="none"/>
                <w:lang w:bidi="ar"/>
              </w:rPr>
              <w:t>Angle courant</w:t>
            </w:r>
          </w:p>
        </w:tc>
      </w:tr>
      <w:tr w14:paraId="52152B48">
        <w:tblPrEx>
          <w:tblCellMar>
            <w:top w:w="0" w:type="dxa"/>
            <w:left w:w="108" w:type="dxa"/>
            <w:bottom w:w="0" w:type="dxa"/>
            <w:right w:w="108" w:type="dxa"/>
          </w:tblCellMar>
        </w:tblPrEx>
        <w:trPr>
          <w:trHeight w:val="390"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2CA15477">
            <w:pPr>
              <w:widowControl/>
              <w:ind w:firstLine="220" w:firstLineChars="100"/>
              <w:jc w:val="left"/>
              <w:textAlignment w:val="center"/>
              <w:rPr>
                <w:rFonts w:eastAsia="等线" w:cstheme="minorHAnsi"/>
                <w:sz w:val="22"/>
                <w:szCs w:val="22"/>
                <w:highlight w:val="none"/>
              </w:rPr>
            </w:pPr>
            <w:r>
              <w:rPr>
                <w:rFonts w:eastAsia="等线" w:cstheme="minorHAnsi"/>
                <w:kern w:val="0"/>
                <w:sz w:val="22"/>
                <w:szCs w:val="22"/>
                <w:highlight w:val="none"/>
                <w:lang w:bidi="ar"/>
              </w:rPr>
              <w:t>Hachoir/Machette</w:t>
            </w:r>
          </w:p>
        </w:tc>
        <w:tc>
          <w:tcPr>
            <w:tcW w:w="2190" w:type="dxa"/>
            <w:tcBorders>
              <w:top w:val="nil"/>
              <w:left w:val="nil"/>
              <w:bottom w:val="single" w:color="auto" w:sz="4" w:space="0"/>
              <w:right w:val="single" w:color="auto" w:sz="4" w:space="0"/>
            </w:tcBorders>
            <w:shd w:val="clear" w:color="000000" w:fill="FFFFFF"/>
            <w:vAlign w:val="center"/>
          </w:tcPr>
          <w:p w14:paraId="4432207D">
            <w:pPr>
              <w:widowControl/>
              <w:jc w:val="center"/>
              <w:textAlignment w:val="center"/>
              <w:rPr>
                <w:rFonts w:eastAsia="等线" w:cstheme="minorHAnsi"/>
                <w:sz w:val="22"/>
                <w:szCs w:val="22"/>
                <w:highlight w:val="none"/>
              </w:rPr>
            </w:pPr>
            <w:r>
              <w:rPr>
                <w:rFonts w:eastAsia="等线" w:cstheme="minorHAnsi"/>
                <w:kern w:val="0"/>
                <w:sz w:val="22"/>
                <w:szCs w:val="22"/>
                <w:highlight w:val="none"/>
                <w:lang w:bidi="ar"/>
              </w:rPr>
              <w:t>25 - 30 degrés</w:t>
            </w:r>
          </w:p>
        </w:tc>
      </w:tr>
      <w:tr w14:paraId="2F4B9AE2">
        <w:tblPrEx>
          <w:tblCellMar>
            <w:top w:w="0" w:type="dxa"/>
            <w:left w:w="108" w:type="dxa"/>
            <w:bottom w:w="0" w:type="dxa"/>
            <w:right w:w="108" w:type="dxa"/>
          </w:tblCellMar>
        </w:tblPrEx>
        <w:trPr>
          <w:trHeight w:val="360"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112A5B20">
            <w:pPr>
              <w:widowControl/>
              <w:ind w:firstLine="220" w:firstLineChars="100"/>
              <w:jc w:val="left"/>
              <w:textAlignment w:val="center"/>
              <w:rPr>
                <w:rFonts w:eastAsia="宋体" w:cstheme="minorHAnsi"/>
                <w:sz w:val="22"/>
                <w:szCs w:val="22"/>
                <w:highlight w:val="none"/>
              </w:rPr>
            </w:pPr>
            <w:r>
              <w:rPr>
                <w:rFonts w:eastAsia="等线" w:cstheme="minorHAnsi"/>
                <w:kern w:val="0"/>
                <w:sz w:val="22"/>
                <w:szCs w:val="22"/>
                <w:highlight w:val="none"/>
                <w:lang w:bidi="ar"/>
              </w:rPr>
              <w:t xml:space="preserve">Couteaux de chasse/de poche/de survie/de sport </w:t>
            </w:r>
          </w:p>
        </w:tc>
        <w:tc>
          <w:tcPr>
            <w:tcW w:w="2190" w:type="dxa"/>
            <w:tcBorders>
              <w:top w:val="nil"/>
              <w:left w:val="nil"/>
              <w:bottom w:val="single" w:color="auto" w:sz="4" w:space="0"/>
              <w:right w:val="single" w:color="auto" w:sz="4" w:space="0"/>
            </w:tcBorders>
            <w:shd w:val="clear" w:color="000000" w:fill="F5F5F5"/>
            <w:vAlign w:val="center"/>
          </w:tcPr>
          <w:p w14:paraId="20F698AB">
            <w:pPr>
              <w:widowControl/>
              <w:jc w:val="center"/>
              <w:textAlignment w:val="center"/>
              <w:rPr>
                <w:rFonts w:eastAsia="等线" w:cstheme="minorHAnsi"/>
                <w:sz w:val="22"/>
                <w:szCs w:val="22"/>
                <w:highlight w:val="none"/>
              </w:rPr>
            </w:pPr>
            <w:r>
              <w:rPr>
                <w:rFonts w:eastAsia="等线" w:cstheme="minorHAnsi"/>
                <w:kern w:val="0"/>
                <w:sz w:val="22"/>
                <w:szCs w:val="22"/>
                <w:highlight w:val="none"/>
                <w:lang w:bidi="ar"/>
              </w:rPr>
              <w:t>20 - 25 degrés</w:t>
            </w:r>
          </w:p>
        </w:tc>
      </w:tr>
      <w:tr w14:paraId="23A166F5">
        <w:tblPrEx>
          <w:tblCellMar>
            <w:top w:w="0" w:type="dxa"/>
            <w:left w:w="108" w:type="dxa"/>
            <w:bottom w:w="0" w:type="dxa"/>
            <w:right w:w="108" w:type="dxa"/>
          </w:tblCellMar>
        </w:tblPrEx>
        <w:trPr>
          <w:trHeight w:val="347"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0281A3E0">
            <w:pPr>
              <w:widowControl/>
              <w:ind w:firstLine="220" w:firstLineChars="100"/>
              <w:jc w:val="left"/>
              <w:textAlignment w:val="center"/>
              <w:rPr>
                <w:rFonts w:eastAsia="等线" w:cstheme="minorHAnsi"/>
                <w:sz w:val="22"/>
                <w:szCs w:val="22"/>
                <w:highlight w:val="none"/>
              </w:rPr>
            </w:pPr>
            <w:r>
              <w:rPr>
                <w:rFonts w:eastAsia="等线" w:cstheme="minorHAnsi"/>
                <w:kern w:val="0"/>
                <w:sz w:val="22"/>
                <w:szCs w:val="22"/>
                <w:highlight w:val="none"/>
                <w:lang w:bidi="ar"/>
              </w:rPr>
              <w:t>Couteaux de chef/de cuisine/petits/à désosser/à découper</w:t>
            </w:r>
          </w:p>
        </w:tc>
        <w:tc>
          <w:tcPr>
            <w:tcW w:w="2190" w:type="dxa"/>
            <w:tcBorders>
              <w:top w:val="nil"/>
              <w:left w:val="nil"/>
              <w:bottom w:val="single" w:color="auto" w:sz="4" w:space="0"/>
              <w:right w:val="single" w:color="auto" w:sz="4" w:space="0"/>
            </w:tcBorders>
            <w:shd w:val="clear" w:color="000000" w:fill="FFFFFF"/>
            <w:vAlign w:val="center"/>
          </w:tcPr>
          <w:p w14:paraId="42787EB3">
            <w:pPr>
              <w:widowControl/>
              <w:jc w:val="center"/>
              <w:textAlignment w:val="center"/>
              <w:rPr>
                <w:rFonts w:eastAsia="等线" w:cstheme="minorHAnsi"/>
                <w:sz w:val="22"/>
                <w:szCs w:val="22"/>
                <w:highlight w:val="none"/>
              </w:rPr>
            </w:pPr>
            <w:r>
              <w:rPr>
                <w:rFonts w:eastAsia="等线" w:cstheme="minorHAnsi"/>
                <w:kern w:val="0"/>
                <w:sz w:val="22"/>
                <w:szCs w:val="22"/>
                <w:highlight w:val="none"/>
                <w:lang w:bidi="ar"/>
              </w:rPr>
              <w:t>17 - 22 degrés</w:t>
            </w:r>
          </w:p>
        </w:tc>
      </w:tr>
      <w:tr w14:paraId="71171621">
        <w:tblPrEx>
          <w:tblCellMar>
            <w:top w:w="0" w:type="dxa"/>
            <w:left w:w="108" w:type="dxa"/>
            <w:bottom w:w="0" w:type="dxa"/>
            <w:right w:w="108" w:type="dxa"/>
          </w:tblCellMar>
        </w:tblPrEx>
        <w:trPr>
          <w:trHeight w:val="671"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01F78BE4">
            <w:pPr>
              <w:widowControl/>
              <w:ind w:left="210" w:leftChars="100"/>
              <w:jc w:val="left"/>
              <w:textAlignment w:val="center"/>
              <w:rPr>
                <w:rFonts w:eastAsia="等线" w:cstheme="minorHAnsi"/>
                <w:sz w:val="22"/>
                <w:szCs w:val="22"/>
                <w:highlight w:val="none"/>
              </w:rPr>
            </w:pPr>
            <w:r>
              <w:rPr>
                <w:rFonts w:eastAsia="等线" w:cstheme="minorHAnsi"/>
                <w:kern w:val="0"/>
                <w:sz w:val="22"/>
                <w:szCs w:val="22"/>
                <w:highlight w:val="none"/>
                <w:lang w:bidi="ar"/>
              </w:rPr>
              <w:t>Couteaux à fileter/d'office/à sushi/</w:t>
            </w:r>
            <w:r>
              <w:rPr>
                <w:rFonts w:eastAsia="等线" w:cstheme="minorHAnsi"/>
                <w:kern w:val="0"/>
                <w:sz w:val="22"/>
                <w:szCs w:val="22"/>
                <w:highlight w:val="none"/>
                <w:lang w:bidi="ar"/>
              </w:rPr>
              <w:br w:type="textWrapping"/>
            </w:r>
            <w:r>
              <w:rPr>
                <w:rFonts w:eastAsia="等线" w:cstheme="minorHAnsi"/>
                <w:kern w:val="0"/>
                <w:sz w:val="22"/>
                <w:szCs w:val="22"/>
                <w:highlight w:val="none"/>
                <w:lang w:bidi="ar"/>
              </w:rPr>
              <w:t>La plupart des couteaux japonais</w:t>
            </w:r>
          </w:p>
        </w:tc>
        <w:tc>
          <w:tcPr>
            <w:tcW w:w="2190" w:type="dxa"/>
            <w:tcBorders>
              <w:top w:val="nil"/>
              <w:left w:val="nil"/>
              <w:bottom w:val="single" w:color="auto" w:sz="4" w:space="0"/>
              <w:right w:val="single" w:color="auto" w:sz="4" w:space="0"/>
            </w:tcBorders>
            <w:shd w:val="clear" w:color="000000" w:fill="F5F5F5"/>
            <w:vAlign w:val="center"/>
          </w:tcPr>
          <w:p w14:paraId="10BE56DD">
            <w:pPr>
              <w:widowControl/>
              <w:jc w:val="center"/>
              <w:textAlignment w:val="center"/>
              <w:rPr>
                <w:rFonts w:eastAsia="等线" w:cstheme="minorHAnsi"/>
                <w:sz w:val="22"/>
                <w:szCs w:val="22"/>
                <w:highlight w:val="none"/>
              </w:rPr>
            </w:pPr>
            <w:r>
              <w:rPr>
                <w:rFonts w:eastAsia="等线" w:cstheme="minorHAnsi"/>
                <w:kern w:val="0"/>
                <w:sz w:val="22"/>
                <w:szCs w:val="22"/>
                <w:highlight w:val="none"/>
                <w:lang w:bidi="ar"/>
              </w:rPr>
              <w:t>12 - 17 degrés</w:t>
            </w:r>
          </w:p>
        </w:tc>
      </w:tr>
    </w:tbl>
    <w:p w14:paraId="1DB8E986">
      <w:pPr>
        <w:widowControl/>
        <w:jc w:val="left"/>
        <w:rPr>
          <w:rFonts w:eastAsia="宋体" w:cstheme="minorHAnsi"/>
          <w:kern w:val="0"/>
          <w:sz w:val="22"/>
          <w:szCs w:val="22"/>
          <w:highlight w:val="none"/>
        </w:rPr>
      </w:pPr>
    </w:p>
    <w:p w14:paraId="59E38522">
      <w:pPr>
        <w:widowControl/>
        <w:jc w:val="left"/>
        <w:rPr>
          <w:rFonts w:eastAsia="宋体" w:cstheme="minorHAnsi"/>
          <w:b/>
          <w:bCs/>
          <w:kern w:val="0"/>
          <w:sz w:val="22"/>
          <w:szCs w:val="22"/>
          <w:highlight w:val="none"/>
        </w:rPr>
      </w:pPr>
      <w:r>
        <w:rPr>
          <w:rFonts w:eastAsia="宋体" w:cstheme="minorHAnsi"/>
          <w:b/>
          <w:bCs/>
          <w:kern w:val="0"/>
          <w:sz w:val="22"/>
          <w:szCs w:val="22"/>
          <w:highlight w:val="none"/>
        </w:rPr>
        <w:t>SCHÉMA FONCTIONNEL</w:t>
      </w:r>
    </w:p>
    <w:p w14:paraId="08773FD3">
      <w:pPr>
        <w:widowControl/>
        <w:jc w:val="left"/>
        <w:rPr>
          <w:rFonts w:eastAsia="宋体" w:cstheme="minorHAnsi"/>
          <w:kern w:val="0"/>
          <w:sz w:val="22"/>
          <w:szCs w:val="22"/>
          <w:highlight w:val="none"/>
        </w:rPr>
      </w:pPr>
      <w:r>
        <w:rPr>
          <w:rFonts w:cstheme="minorHAnsi"/>
          <w:sz w:val="22"/>
          <w:szCs w:val="22"/>
          <w:highlight w:val="none"/>
        </w:rPr>
        <w:drawing>
          <wp:inline distT="0" distB="0" distL="114300" distR="114300">
            <wp:extent cx="2830830" cy="1234440"/>
            <wp:effectExtent l="0" t="0" r="7620" b="381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4"/>
                    <a:stretch>
                      <a:fillRect/>
                    </a:stretch>
                  </pic:blipFill>
                  <pic:spPr>
                    <a:xfrm>
                      <a:off x="0" y="0"/>
                      <a:ext cx="2830830" cy="1234440"/>
                    </a:xfrm>
                    <a:prstGeom prst="rect">
                      <a:avLst/>
                    </a:prstGeom>
                    <a:noFill/>
                    <a:ln>
                      <a:noFill/>
                    </a:ln>
                  </pic:spPr>
                </pic:pic>
              </a:graphicData>
            </a:graphic>
          </wp:inline>
        </w:drawing>
      </w:r>
    </w:p>
    <w:p w14:paraId="61D8264A">
      <w:pPr>
        <w:widowControl/>
        <w:jc w:val="left"/>
        <w:rPr>
          <w:rFonts w:eastAsia="宋体" w:cstheme="minorHAnsi"/>
          <w:kern w:val="0"/>
          <w:sz w:val="22"/>
          <w:szCs w:val="22"/>
          <w:highlight w:val="none"/>
        </w:rPr>
      </w:pPr>
      <w:r>
        <w:rPr>
          <w:rFonts w:eastAsia="宋体" w:cstheme="minorHAnsi"/>
          <w:kern w:val="0"/>
          <w:sz w:val="22"/>
          <w:szCs w:val="22"/>
          <w:highlight w:val="none"/>
        </w:rPr>
        <w:t>ALIMENTATION</w:t>
      </w:r>
    </w:p>
    <w:p w14:paraId="3C41DE44">
      <w:pPr>
        <w:widowControl/>
        <w:jc w:val="left"/>
        <w:rPr>
          <w:rFonts w:eastAsia="宋体" w:cstheme="minorHAnsi"/>
          <w:kern w:val="0"/>
          <w:sz w:val="22"/>
          <w:szCs w:val="22"/>
          <w:highlight w:val="none"/>
        </w:rPr>
      </w:pPr>
      <w:r>
        <w:rPr>
          <w:rFonts w:eastAsia="宋体" w:cstheme="minorHAnsi"/>
          <w:kern w:val="0"/>
          <w:sz w:val="22"/>
          <w:szCs w:val="22"/>
          <w:highlight w:val="none"/>
        </w:rPr>
        <w:t>ZERO/RÉINITIALISATION</w:t>
      </w:r>
    </w:p>
    <w:p w14:paraId="45F8BA6F">
      <w:pPr>
        <w:widowControl/>
        <w:jc w:val="left"/>
        <w:rPr>
          <w:rFonts w:eastAsia="宋体" w:cstheme="minorHAnsi"/>
          <w:kern w:val="0"/>
          <w:sz w:val="22"/>
          <w:szCs w:val="22"/>
          <w:highlight w:val="none"/>
        </w:rPr>
      </w:pPr>
      <w:r>
        <w:rPr>
          <w:rFonts w:eastAsia="宋体" w:cstheme="minorHAnsi"/>
          <w:kern w:val="0"/>
          <w:sz w:val="22"/>
          <w:szCs w:val="22"/>
          <w:highlight w:val="none"/>
        </w:rPr>
        <w:t>AFFICHEUR LCD</w:t>
      </w:r>
    </w:p>
    <w:p w14:paraId="72150518">
      <w:pPr>
        <w:widowControl/>
        <w:jc w:val="left"/>
        <w:textAlignment w:val="center"/>
        <w:rPr>
          <w:rFonts w:cstheme="minorHAnsi"/>
          <w:b/>
          <w:bCs/>
          <w:sz w:val="22"/>
          <w:szCs w:val="22"/>
          <w:highlight w:val="none"/>
        </w:rPr>
      </w:pPr>
      <w:r>
        <w:rPr>
          <w:rFonts w:eastAsia="等线" w:cstheme="minorHAnsi"/>
          <w:kern w:val="0"/>
          <w:sz w:val="22"/>
          <w:szCs w:val="22"/>
          <w:highlight w:val="none"/>
          <w:lang w:bidi="ar"/>
        </w:rPr>
        <w:t>BASE MAGNÉTIQUE</w:t>
      </w:r>
    </w:p>
    <w:p w14:paraId="2B716294">
      <w:pPr>
        <w:widowControl/>
        <w:jc w:val="left"/>
        <w:rPr>
          <w:rFonts w:cstheme="minorHAnsi"/>
          <w:b/>
          <w:bCs/>
          <w:sz w:val="22"/>
          <w:szCs w:val="22"/>
          <w:highlight w:val="none"/>
        </w:rPr>
      </w:pPr>
    </w:p>
    <w:p w14:paraId="193649C2">
      <w:pPr>
        <w:widowControl/>
        <w:jc w:val="left"/>
        <w:rPr>
          <w:rFonts w:eastAsia="宋体" w:cstheme="minorHAnsi"/>
          <w:b/>
          <w:bCs/>
          <w:kern w:val="0"/>
          <w:sz w:val="22"/>
          <w:szCs w:val="22"/>
          <w:highlight w:val="none"/>
        </w:rPr>
      </w:pPr>
      <w:r>
        <w:rPr>
          <w:rFonts w:eastAsia="宋体" w:cstheme="minorHAnsi"/>
          <w:b/>
          <w:bCs/>
          <w:kern w:val="0"/>
          <w:sz w:val="22"/>
          <w:szCs w:val="22"/>
          <w:highlight w:val="none"/>
        </w:rPr>
        <w:t>MISE EN MARCHE / ARRÊT</w:t>
      </w:r>
    </w:p>
    <w:p w14:paraId="52B8633A">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Mise en marche : </w:t>
      </w:r>
      <w:r>
        <w:rPr>
          <w:rFonts w:eastAsia="宋体" w:cstheme="minorHAnsi"/>
          <w:kern w:val="0"/>
          <w:sz w:val="22"/>
          <w:szCs w:val="22"/>
          <w:highlight w:val="none"/>
        </w:rPr>
        <w:t>Appuyez sur le bouton d'alimentation pour allumer l'appareil.</w:t>
      </w:r>
    </w:p>
    <w:p w14:paraId="19078F08">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Arrêt : </w:t>
      </w:r>
      <w:r>
        <w:rPr>
          <w:rFonts w:eastAsia="宋体" w:cstheme="minorHAnsi"/>
          <w:kern w:val="0"/>
          <w:sz w:val="22"/>
          <w:szCs w:val="22"/>
          <w:highlight w:val="none"/>
        </w:rPr>
        <w:t xml:space="preserve">Appuyez sur le bouton d'alimentation et maintenez-le enfoncé pendant 1-2 secondes pour éteindre l'appareil. </w:t>
      </w:r>
    </w:p>
    <w:p w14:paraId="5206D410">
      <w:pPr>
        <w:widowControl/>
        <w:jc w:val="left"/>
        <w:rPr>
          <w:rFonts w:eastAsia="宋体" w:cstheme="minorHAnsi"/>
          <w:kern w:val="0"/>
          <w:sz w:val="22"/>
          <w:szCs w:val="22"/>
          <w:highlight w:val="none"/>
        </w:rPr>
      </w:pPr>
      <w:r>
        <w:rPr>
          <w:rFonts w:eastAsia="宋体" w:cstheme="minorHAnsi"/>
          <w:b/>
          <w:bCs/>
          <w:kern w:val="0"/>
          <w:sz w:val="22"/>
          <w:szCs w:val="22"/>
          <w:highlight w:val="none"/>
        </w:rPr>
        <w:t>Remarque :</w:t>
      </w:r>
      <w:r>
        <w:rPr>
          <w:rFonts w:eastAsia="宋体" w:cstheme="minorHAnsi"/>
          <w:kern w:val="0"/>
          <w:sz w:val="22"/>
          <w:szCs w:val="22"/>
          <w:highlight w:val="none"/>
        </w:rPr>
        <w:t xml:space="preserve"> Après la mise en marche, l'angle affiché peut d'abord sembler plus élevé, puis diminuer progressivement. </w:t>
      </w:r>
    </w:p>
    <w:p w14:paraId="6B023F74">
      <w:pPr>
        <w:widowControl/>
        <w:jc w:val="left"/>
        <w:rPr>
          <w:rFonts w:eastAsia="宋体" w:cstheme="minorHAnsi"/>
          <w:kern w:val="0"/>
          <w:sz w:val="22"/>
          <w:szCs w:val="22"/>
          <w:highlight w:val="none"/>
        </w:rPr>
      </w:pPr>
      <w:r>
        <w:rPr>
          <w:rFonts w:eastAsia="宋体" w:cstheme="minorHAnsi"/>
          <w:kern w:val="0"/>
          <w:sz w:val="22"/>
          <w:szCs w:val="22"/>
          <w:highlight w:val="none"/>
        </w:rPr>
        <w:t xml:space="preserve">Ceci est normal et indique que le capteur intégré effectue une </w:t>
      </w:r>
      <w:r>
        <w:rPr>
          <w:rFonts w:eastAsia="宋体" w:cstheme="minorHAnsi"/>
          <w:b/>
          <w:bCs/>
          <w:kern w:val="0"/>
          <w:sz w:val="22"/>
          <w:szCs w:val="22"/>
          <w:highlight w:val="none"/>
        </w:rPr>
        <w:t>calibration automatique de zéro</w:t>
      </w:r>
      <w:r>
        <w:rPr>
          <w:rFonts w:eastAsia="宋体" w:cstheme="minorHAnsi"/>
          <w:kern w:val="0"/>
          <w:sz w:val="22"/>
          <w:szCs w:val="22"/>
          <w:highlight w:val="none"/>
        </w:rPr>
        <w:t>.</w:t>
      </w:r>
    </w:p>
    <w:p w14:paraId="23BFCC45">
      <w:pPr>
        <w:widowControl/>
        <w:jc w:val="left"/>
        <w:rPr>
          <w:rFonts w:eastAsia="宋体" w:cstheme="minorHAnsi"/>
          <w:kern w:val="0"/>
          <w:sz w:val="22"/>
          <w:szCs w:val="22"/>
          <w:highlight w:val="none"/>
        </w:rPr>
      </w:pPr>
    </w:p>
    <w:p w14:paraId="40237228">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INSTRUCTIONS D'UTILISATION </w:t>
      </w:r>
    </w:p>
    <w:p w14:paraId="507DF9A4">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Placez l'appareil sur la pierre à affûter. Appuyez sur le bouton ZERO et maintenez-le immobile pendant environ 2 - 3 secondes pour le calibrer. Soulevez l'appareil et replacez-le sur la pierre afin de confirmer que la lecture revient à zéro. Si la lecture ne revient pas à zéro, répétez le processus de calibration.</w:t>
      </w:r>
    </w:p>
    <w:p w14:paraId="0BDEF53A">
      <w:pPr>
        <w:widowControl/>
        <w:jc w:val="left"/>
        <w:rPr>
          <w:rFonts w:eastAsia="宋体" w:cstheme="minorHAnsi"/>
          <w:kern w:val="0"/>
          <w:sz w:val="22"/>
          <w:szCs w:val="22"/>
          <w:highlight w:val="none"/>
        </w:rPr>
      </w:pPr>
      <w:r>
        <w:rPr>
          <w:rFonts w:eastAsia="宋体" w:cstheme="minorHAnsi"/>
          <w:b/>
          <w:bCs/>
          <w:kern w:val="0"/>
          <w:sz w:val="22"/>
          <w:szCs w:val="22"/>
          <w:highlight w:val="none"/>
        </w:rPr>
        <w:t>Remarque :</w:t>
      </w:r>
      <w:r>
        <w:rPr>
          <w:rFonts w:eastAsia="宋体" w:cstheme="minorHAnsi"/>
          <w:kern w:val="0"/>
          <w:sz w:val="22"/>
          <w:szCs w:val="22"/>
          <w:highlight w:val="none"/>
        </w:rPr>
        <w:t xml:space="preserve"> La mise à zéro sur la pierre à affûter garantit une mesure précise de l'angle entre la lame et la pierre.</w:t>
      </w:r>
    </w:p>
    <w:p w14:paraId="58DC2471">
      <w:pPr>
        <w:widowControl/>
        <w:jc w:val="left"/>
        <w:rPr>
          <w:rFonts w:eastAsia="宋体" w:cstheme="minorHAnsi"/>
          <w:kern w:val="0"/>
          <w:sz w:val="22"/>
          <w:szCs w:val="22"/>
          <w:highlight w:val="none"/>
        </w:rPr>
      </w:pPr>
      <w:r>
        <w:rPr>
          <w:rFonts w:eastAsia="宋体" w:cstheme="minorHAnsi"/>
          <w:kern w:val="0"/>
          <w:sz w:val="22"/>
          <w:szCs w:val="22"/>
          <w:highlight w:val="none"/>
        </w:rPr>
        <w:t xml:space="preserve">Tant que la position de la pierre à affûter reste inchangée, il n'est pas nécessaire de répéter la mise à zéro pendant l'utilisation. </w:t>
      </w:r>
    </w:p>
    <w:p w14:paraId="106EE296">
      <w:pPr>
        <w:pStyle w:val="8"/>
        <w:widowControl/>
        <w:numPr>
          <w:ilvl w:val="0"/>
          <w:numId w:val="1"/>
        </w:numPr>
        <w:ind w:firstLineChars="0"/>
        <w:jc w:val="left"/>
        <w:rPr>
          <w:rFonts w:eastAsia="宋体" w:cstheme="minorHAnsi"/>
          <w:kern w:val="0"/>
          <w:sz w:val="22"/>
          <w:szCs w:val="22"/>
          <w:highlight w:val="none"/>
        </w:rPr>
      </w:pPr>
      <w:bookmarkStart w:id="0" w:name="OLE_LINK1"/>
      <w:bookmarkEnd w:id="0"/>
      <w:r>
        <w:rPr>
          <w:rFonts w:eastAsia="宋体" w:cstheme="minorHAnsi"/>
          <w:kern w:val="0"/>
          <w:sz w:val="22"/>
          <w:szCs w:val="22"/>
          <w:highlight w:val="none"/>
        </w:rPr>
        <w:t xml:space="preserve">Fixez l'appareil magnétiquement sur le côté de la lame du couteau orienté vers le haut, en vous assurant qu'il est maintenu solidement. Assurez-vous que le tranchant est parallèle au bord long de l'appareil, avec l'afficheur directement orienté vers l'utilisateur pour une lecture facile. ( Voir </w:t>
      </w:r>
      <w:r>
        <w:rPr>
          <w:rFonts w:hint="eastAsia" w:eastAsia="宋体" w:cstheme="minorHAnsi"/>
          <w:kern w:val="0"/>
          <w:sz w:val="22"/>
          <w:szCs w:val="22"/>
          <w:highlight w:val="none"/>
          <w:lang w:val="en-US" w:eastAsia="zh-CN"/>
        </w:rPr>
        <w:t xml:space="preserve">la </w:t>
      </w:r>
      <w:r>
        <w:rPr>
          <w:rFonts w:eastAsia="宋体" w:cstheme="minorHAnsi"/>
          <w:kern w:val="0"/>
          <w:sz w:val="22"/>
          <w:szCs w:val="22"/>
          <w:highlight w:val="none"/>
        </w:rPr>
        <w:t>Fig.2-3)</w:t>
      </w:r>
    </w:p>
    <w:p w14:paraId="14F7BF95">
      <w:pPr>
        <w:widowControl/>
        <w:jc w:val="left"/>
        <w:rPr>
          <w:rFonts w:cstheme="minorHAnsi"/>
          <w:b/>
          <w:bCs/>
          <w:sz w:val="22"/>
          <w:szCs w:val="22"/>
          <w:highlight w:val="none"/>
        </w:rPr>
      </w:pPr>
      <w:r>
        <w:rPr>
          <w:rFonts w:cstheme="minorHAnsi"/>
          <w:sz w:val="22"/>
          <w:szCs w:val="22"/>
          <w:highlight w:val="none"/>
        </w:rPr>
        <w:drawing>
          <wp:inline distT="0" distB="0" distL="114300" distR="114300">
            <wp:extent cx="3928745" cy="1565275"/>
            <wp:effectExtent l="0" t="0" r="5080" b="635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5"/>
                    <a:stretch>
                      <a:fillRect/>
                    </a:stretch>
                  </pic:blipFill>
                  <pic:spPr>
                    <a:xfrm>
                      <a:off x="0" y="0"/>
                      <a:ext cx="3928745" cy="1565275"/>
                    </a:xfrm>
                    <a:prstGeom prst="rect">
                      <a:avLst/>
                    </a:prstGeom>
                    <a:noFill/>
                    <a:ln>
                      <a:noFill/>
                    </a:ln>
                  </pic:spPr>
                </pic:pic>
              </a:graphicData>
            </a:graphic>
          </wp:inline>
        </w:drawing>
      </w:r>
    </w:p>
    <w:p w14:paraId="0A3BC094">
      <w:pPr>
        <w:widowControl/>
        <w:jc w:val="left"/>
        <w:rPr>
          <w:rFonts w:hint="eastAsia" w:eastAsia="宋体" w:cstheme="minorHAnsi"/>
          <w:kern w:val="0"/>
          <w:sz w:val="22"/>
          <w:szCs w:val="22"/>
          <w:highlight w:val="none"/>
        </w:rPr>
      </w:pPr>
      <w:r>
        <w:rPr>
          <w:rFonts w:hint="eastAsia" w:cstheme="minorHAnsi"/>
          <w:b/>
          <w:bCs/>
          <w:sz w:val="22"/>
          <w:szCs w:val="22"/>
          <w:highlight w:val="none"/>
        </w:rPr>
        <w:t>Remarque :</w:t>
      </w:r>
      <w:r>
        <w:rPr>
          <w:rFonts w:hint="eastAsia" w:cstheme="minorHAnsi"/>
          <w:sz w:val="22"/>
          <w:szCs w:val="22"/>
          <w:highlight w:val="none"/>
        </w:rPr>
        <w:t xml:space="preserve"> Le gyroscope intégré tient automatiquement compte de la géométrie de la lame, de sorte que la valeur affichée correspond à l'angle d'affûtage. Il n'est </w:t>
      </w:r>
      <w:r>
        <w:rPr>
          <w:rFonts w:hint="eastAsia" w:cstheme="minorHAnsi"/>
          <w:b/>
          <w:bCs/>
          <w:sz w:val="22"/>
          <w:szCs w:val="22"/>
          <w:highlight w:val="none"/>
        </w:rPr>
        <w:t>PAS NÉCESSAIRE</w:t>
      </w:r>
      <w:r>
        <w:rPr>
          <w:rFonts w:hint="eastAsia" w:cstheme="minorHAnsi"/>
          <w:sz w:val="22"/>
          <w:szCs w:val="22"/>
          <w:highlight w:val="none"/>
        </w:rPr>
        <w:t xml:space="preserve"> de calculer ou de compenser séparément l'angle du dos de la lame. Pour affûter à 20°, ajustez simplement la lame jusqu'à ce que l'afficheur indique 20°.</w:t>
      </w:r>
    </w:p>
    <w:p w14:paraId="1AEA06D4">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Placez la lame contre la pierre à affûter. Ajustez la lame à l'angle d'affûtage souhaité. (Voir</w:t>
      </w:r>
      <w:r>
        <w:rPr>
          <w:rFonts w:hint="eastAsia" w:eastAsia="宋体" w:cstheme="minorHAnsi"/>
          <w:kern w:val="0"/>
          <w:sz w:val="22"/>
          <w:szCs w:val="22"/>
          <w:highlight w:val="none"/>
          <w:lang w:val="en-US" w:eastAsia="zh-CN"/>
        </w:rPr>
        <w:t xml:space="preserve"> la</w:t>
      </w:r>
      <w:r>
        <w:rPr>
          <w:rFonts w:eastAsia="宋体" w:cstheme="minorHAnsi"/>
          <w:kern w:val="0"/>
          <w:sz w:val="22"/>
          <w:szCs w:val="22"/>
          <w:highlight w:val="none"/>
        </w:rPr>
        <w:t xml:space="preserve"> Fig.2-3)</w:t>
      </w:r>
    </w:p>
    <w:p w14:paraId="744898A6">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Gardez une main stable pendant l'affûtage et surveillez la lecture de l'angle. Si l'angle s'écarte de plus de 1°, ajustez légèrement la lame pour revenir à l'angle d'affûtage souhaité.</w:t>
      </w:r>
    </w:p>
    <w:p w14:paraId="20151B82">
      <w:pPr>
        <w:widowControl/>
        <w:jc w:val="left"/>
        <w:rPr>
          <w:rFonts w:eastAsia="宋体" w:cstheme="minorHAnsi"/>
          <w:kern w:val="0"/>
          <w:sz w:val="22"/>
          <w:szCs w:val="22"/>
          <w:highlight w:val="none"/>
        </w:rPr>
      </w:pPr>
      <w:r>
        <w:rPr>
          <w:rFonts w:eastAsia="宋体" w:cstheme="minorHAnsi"/>
          <w:b/>
          <w:bCs/>
          <w:kern w:val="0"/>
          <w:sz w:val="22"/>
          <w:szCs w:val="22"/>
          <w:highlight w:val="none"/>
        </w:rPr>
        <w:t>Remarque</w:t>
      </w:r>
      <w:r>
        <w:rPr>
          <w:rFonts w:eastAsia="宋体" w:cstheme="minorHAnsi"/>
          <w:kern w:val="0"/>
          <w:sz w:val="22"/>
          <w:szCs w:val="22"/>
          <w:highlight w:val="none"/>
        </w:rPr>
        <w:t>: De petites fluctuations de la lecture de l'angle sont normales. L'appareil reflète le mouvement de la main en temps réel plutôt que de filtrer ou de moyenner les données. Une fluctuation indique généralement un mouvement de la main, et non une erreur de mesure. Concentrez-vous sur le maintien d'un mouvement régulier au lieu de chercher à suivre un nombre fixe.</w:t>
      </w:r>
    </w:p>
    <w:p w14:paraId="64CCFFCC">
      <w:pPr>
        <w:widowControl/>
        <w:jc w:val="left"/>
        <w:rPr>
          <w:rFonts w:eastAsia="宋体" w:cstheme="minorHAnsi"/>
          <w:b/>
          <w:bCs/>
          <w:kern w:val="0"/>
          <w:sz w:val="22"/>
          <w:szCs w:val="22"/>
          <w:highlight w:val="none"/>
        </w:rPr>
      </w:pPr>
    </w:p>
    <w:p w14:paraId="277E3071">
      <w:pPr>
        <w:widowControl/>
        <w:jc w:val="left"/>
        <w:rPr>
          <w:rFonts w:eastAsia="宋体" w:cstheme="minorHAnsi"/>
          <w:kern w:val="0"/>
          <w:sz w:val="22"/>
          <w:szCs w:val="22"/>
          <w:highlight w:val="none"/>
        </w:rPr>
      </w:pPr>
      <w:bookmarkStart w:id="1" w:name="OLE_LINK2"/>
      <w:r>
        <w:rPr>
          <w:rFonts w:eastAsia="宋体" w:cstheme="minorHAnsi"/>
          <w:b/>
          <w:bCs/>
          <w:kern w:val="0"/>
          <w:sz w:val="22"/>
          <w:szCs w:val="22"/>
          <w:highlight w:val="none"/>
        </w:rPr>
        <w:t>Conseil</w:t>
      </w:r>
      <w:r>
        <w:rPr>
          <w:rFonts w:eastAsia="宋体" w:cstheme="minorHAnsi"/>
          <w:kern w:val="0"/>
          <w:sz w:val="22"/>
          <w:szCs w:val="22"/>
          <w:highlight w:val="none"/>
        </w:rPr>
        <w:t>: Lors de l'affûtage de la pointe, la lecture de l'angle peut changer car la géométrie de contact change lorsque la lame se courbe. Ceci est normal. Ne cherchez pas à suivre le nombre qui change ; continuez à suivre le même mouvement d'affûtage et le même angle précédemment réglé.</w:t>
      </w:r>
    </w:p>
    <w:bookmarkEnd w:id="1"/>
    <w:p w14:paraId="2F153824">
      <w:pPr>
        <w:widowControl/>
        <w:jc w:val="left"/>
        <w:rPr>
          <w:rFonts w:eastAsia="宋体" w:cstheme="minorHAnsi"/>
          <w:sz w:val="22"/>
          <w:szCs w:val="22"/>
          <w:highlight w:val="none"/>
        </w:rPr>
      </w:pPr>
    </w:p>
    <w:p w14:paraId="0FDA68FC">
      <w:pPr>
        <w:rPr>
          <w:rFonts w:cstheme="minorHAnsi"/>
          <w:sz w:val="22"/>
          <w:szCs w:val="22"/>
          <w:highlight w:val="none"/>
        </w:rPr>
      </w:pPr>
      <w:r>
        <w:rPr>
          <w:rFonts w:cstheme="minorHAnsi"/>
          <w:b/>
          <w:bCs/>
          <w:sz w:val="22"/>
          <w:szCs w:val="22"/>
          <w:highlight w:val="none"/>
        </w:rPr>
        <w:t>REMPLACEMENT DE LA PILE</w:t>
      </w:r>
    </w:p>
    <w:p w14:paraId="48FA5606">
      <w:pPr>
        <w:rPr>
          <w:rFonts w:eastAsia="宋体" w:cstheme="minorHAnsi"/>
          <w:sz w:val="22"/>
          <w:szCs w:val="22"/>
          <w:highlight w:val="none"/>
        </w:rPr>
      </w:pPr>
      <w:r>
        <w:rPr>
          <w:rFonts w:cstheme="minorHAnsi"/>
          <w:sz w:val="22"/>
          <w:szCs w:val="22"/>
          <w:highlight w:val="none"/>
        </w:rPr>
        <w:t>Remplacez la pile lorsque l'afficheur devient faible ou difficile à lire.</w:t>
      </w:r>
    </w:p>
    <w:p w14:paraId="44C27305">
      <w:pPr>
        <w:rPr>
          <w:rFonts w:cstheme="minorHAnsi"/>
          <w:sz w:val="22"/>
          <w:szCs w:val="22"/>
          <w:highlight w:val="none"/>
        </w:rPr>
      </w:pPr>
      <w:r>
        <w:rPr>
          <w:rFonts w:eastAsia="宋体" w:cstheme="minorHAnsi"/>
          <w:sz w:val="22"/>
          <w:szCs w:val="22"/>
          <w:highlight w:val="none"/>
        </w:rPr>
        <w:t>Utilisez uniquement une pile bouton CR2450 (3V). N'utilisez pas de piles rechargeables.</w:t>
      </w:r>
    </w:p>
    <w:p w14:paraId="72C354F7">
      <w:pPr>
        <w:rPr>
          <w:rFonts w:cstheme="minorHAnsi"/>
          <w:sz w:val="22"/>
          <w:szCs w:val="22"/>
          <w:highlight w:val="none"/>
        </w:rPr>
      </w:pPr>
      <w:r>
        <w:rPr>
          <w:rFonts w:cstheme="minorHAnsi"/>
          <w:sz w:val="22"/>
          <w:szCs w:val="22"/>
          <w:highlight w:val="none"/>
        </w:rPr>
        <w:t xml:space="preserve">1. Éteignez l'appareil.  </w:t>
      </w:r>
    </w:p>
    <w:p w14:paraId="4A9F72E1">
      <w:pPr>
        <w:rPr>
          <w:rFonts w:cstheme="minorHAnsi"/>
          <w:sz w:val="22"/>
          <w:szCs w:val="22"/>
          <w:highlight w:val="none"/>
        </w:rPr>
      </w:pPr>
      <w:r>
        <w:rPr>
          <w:rFonts w:cstheme="minorHAnsi"/>
          <w:sz w:val="22"/>
          <w:szCs w:val="22"/>
          <w:highlight w:val="none"/>
        </w:rPr>
        <w:t xml:space="preserve">2. Retirez le tampon en silicone.  </w:t>
      </w:r>
    </w:p>
    <w:p w14:paraId="6206F1FC">
      <w:pPr>
        <w:rPr>
          <w:rFonts w:cstheme="minorHAnsi"/>
          <w:sz w:val="22"/>
          <w:szCs w:val="22"/>
          <w:highlight w:val="none"/>
        </w:rPr>
      </w:pPr>
      <w:r>
        <w:rPr>
          <w:rFonts w:cstheme="minorHAnsi"/>
          <w:sz w:val="22"/>
          <w:szCs w:val="22"/>
          <w:highlight w:val="none"/>
        </w:rPr>
        <w:t xml:space="preserve">3. Retirez le couvercle de la pile à l'aide du tournevis.  </w:t>
      </w:r>
    </w:p>
    <w:p w14:paraId="3F7E3EFE">
      <w:pPr>
        <w:rPr>
          <w:rFonts w:cstheme="minorHAnsi"/>
          <w:sz w:val="22"/>
          <w:szCs w:val="22"/>
          <w:highlight w:val="none"/>
        </w:rPr>
      </w:pPr>
      <w:r>
        <w:rPr>
          <w:rFonts w:cstheme="minorHAnsi"/>
          <w:sz w:val="22"/>
          <w:szCs w:val="22"/>
          <w:highlight w:val="none"/>
        </w:rPr>
        <w:t xml:space="preserve">4. Remplacez-la par une pile bouton CR2450 (3V), le côté positif (+) orienté vers l'extérieur.  </w:t>
      </w:r>
    </w:p>
    <w:p w14:paraId="69436612">
      <w:pPr>
        <w:rPr>
          <w:rFonts w:cstheme="minorHAnsi"/>
          <w:sz w:val="22"/>
          <w:szCs w:val="22"/>
          <w:highlight w:val="none"/>
        </w:rPr>
      </w:pPr>
      <w:r>
        <w:rPr>
          <w:rFonts w:eastAsia="宋体" w:cstheme="minorHAnsi"/>
          <w:b/>
          <w:bCs/>
          <w:sz w:val="22"/>
          <w:szCs w:val="22"/>
          <w:highlight w:val="none"/>
        </w:rPr>
        <w:t>Conseil :</w:t>
      </w:r>
      <w:r>
        <w:rPr>
          <w:rFonts w:eastAsia="宋体" w:cstheme="minorHAnsi"/>
          <w:sz w:val="22"/>
          <w:szCs w:val="22"/>
          <w:highlight w:val="none"/>
        </w:rPr>
        <w:t xml:space="preserve"> Insérez la pile en l'appuyant d'abord contre le contact doré. ( Voir </w:t>
      </w:r>
      <w:r>
        <w:rPr>
          <w:rFonts w:hint="eastAsia" w:eastAsia="宋体" w:cstheme="minorHAnsi"/>
          <w:kern w:val="0"/>
          <w:sz w:val="22"/>
          <w:szCs w:val="22"/>
          <w:highlight w:val="none"/>
          <w:lang w:val="en-US" w:eastAsia="zh-CN"/>
        </w:rPr>
        <w:t xml:space="preserve">la </w:t>
      </w:r>
      <w:r>
        <w:rPr>
          <w:rFonts w:eastAsia="宋体" w:cstheme="minorHAnsi"/>
          <w:sz w:val="22"/>
          <w:szCs w:val="22"/>
          <w:highlight w:val="none"/>
        </w:rPr>
        <w:t>Fig.4)</w:t>
      </w:r>
    </w:p>
    <w:p w14:paraId="59AFAB89">
      <w:pPr>
        <w:rPr>
          <w:rFonts w:eastAsia="宋体" w:cstheme="minorHAnsi"/>
          <w:sz w:val="22"/>
          <w:szCs w:val="22"/>
          <w:highlight w:val="none"/>
        </w:rPr>
      </w:pPr>
      <w:r>
        <w:rPr>
          <w:rFonts w:cstheme="minorHAnsi"/>
          <w:sz w:val="22"/>
          <w:szCs w:val="22"/>
          <w:highlight w:val="none"/>
        </w:rPr>
        <w:t xml:space="preserve">5. Remettez le couvercle de la pile et le tampon en silicone en place.( Voir </w:t>
      </w:r>
      <w:r>
        <w:rPr>
          <w:rFonts w:hint="eastAsia" w:eastAsia="宋体" w:cstheme="minorHAnsi"/>
          <w:kern w:val="0"/>
          <w:sz w:val="22"/>
          <w:szCs w:val="22"/>
          <w:highlight w:val="none"/>
          <w:lang w:val="en-US" w:eastAsia="zh-CN"/>
        </w:rPr>
        <w:t xml:space="preserve">la </w:t>
      </w:r>
      <w:r>
        <w:rPr>
          <w:rFonts w:cstheme="minorHAnsi"/>
          <w:sz w:val="22"/>
          <w:szCs w:val="22"/>
          <w:highlight w:val="none"/>
        </w:rPr>
        <w:t>Fig.5)</w:t>
      </w:r>
    </w:p>
    <w:p w14:paraId="43548F4B">
      <w:pPr>
        <w:rPr>
          <w:rFonts w:eastAsia="宋体" w:cstheme="minorHAnsi"/>
          <w:sz w:val="22"/>
          <w:szCs w:val="22"/>
          <w:highlight w:val="none"/>
        </w:rPr>
      </w:pPr>
    </w:p>
    <w:p w14:paraId="1E0A1900">
      <w:pPr>
        <w:rPr>
          <w:rFonts w:cstheme="minorHAnsi"/>
          <w:sz w:val="22"/>
          <w:szCs w:val="22"/>
          <w:highlight w:val="none"/>
        </w:rPr>
      </w:pPr>
      <w:r>
        <w:rPr>
          <w:rFonts w:cstheme="minorHAnsi"/>
          <w:sz w:val="22"/>
          <w:szCs w:val="22"/>
          <w:highlight w:val="none"/>
        </w:rPr>
        <w:drawing>
          <wp:inline distT="0" distB="0" distL="114300" distR="114300">
            <wp:extent cx="2020570" cy="1843405"/>
            <wp:effectExtent l="0" t="0" r="8255" b="444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6"/>
                    <a:stretch>
                      <a:fillRect/>
                    </a:stretch>
                  </pic:blipFill>
                  <pic:spPr>
                    <a:xfrm>
                      <a:off x="0" y="0"/>
                      <a:ext cx="2020570" cy="1843405"/>
                    </a:xfrm>
                    <a:prstGeom prst="rect">
                      <a:avLst/>
                    </a:prstGeom>
                    <a:noFill/>
                    <a:ln>
                      <a:noFill/>
                    </a:ln>
                  </pic:spPr>
                </pic:pic>
              </a:graphicData>
            </a:graphic>
          </wp:inline>
        </w:drawing>
      </w:r>
      <w:r>
        <w:rPr>
          <w:rFonts w:cstheme="minorHAnsi"/>
          <w:sz w:val="22"/>
          <w:szCs w:val="22"/>
          <w:highlight w:val="none"/>
        </w:rPr>
        <w:drawing>
          <wp:inline distT="0" distB="0" distL="114300" distR="114300">
            <wp:extent cx="1957705" cy="1791970"/>
            <wp:effectExtent l="0" t="0" r="4445" b="825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7"/>
                    <a:stretch>
                      <a:fillRect/>
                    </a:stretch>
                  </pic:blipFill>
                  <pic:spPr>
                    <a:xfrm>
                      <a:off x="0" y="0"/>
                      <a:ext cx="1957705" cy="1791970"/>
                    </a:xfrm>
                    <a:prstGeom prst="rect">
                      <a:avLst/>
                    </a:prstGeom>
                    <a:noFill/>
                    <a:ln>
                      <a:noFill/>
                    </a:ln>
                  </pic:spPr>
                </pic:pic>
              </a:graphicData>
            </a:graphic>
          </wp:inline>
        </w:drawing>
      </w:r>
    </w:p>
    <w:p w14:paraId="024F0665">
      <w:pPr>
        <w:rPr>
          <w:rFonts w:cstheme="minorHAnsi"/>
          <w:sz w:val="22"/>
          <w:szCs w:val="22"/>
          <w:highlight w:val="none"/>
        </w:rPr>
      </w:pPr>
    </w:p>
    <w:p w14:paraId="2CB4F662">
      <w:pPr>
        <w:widowControl/>
        <w:jc w:val="left"/>
        <w:rPr>
          <w:rFonts w:eastAsia="宋体" w:cstheme="minorHAnsi"/>
          <w:b/>
          <w:bCs/>
          <w:kern w:val="0"/>
          <w:sz w:val="22"/>
          <w:szCs w:val="22"/>
          <w:highlight w:val="none"/>
          <w:lang w:bidi="ar"/>
        </w:rPr>
      </w:pPr>
      <w:r>
        <w:rPr>
          <w:rFonts w:eastAsia="宋体" w:cstheme="minorHAnsi"/>
          <w:b/>
          <w:bCs/>
          <w:kern w:val="0"/>
          <w:sz w:val="22"/>
          <w:szCs w:val="22"/>
          <w:highlight w:val="none"/>
          <w:lang w:bidi="ar"/>
        </w:rPr>
        <w:t>ENTRETIEN</w:t>
      </w:r>
    </w:p>
    <w:p w14:paraId="355CCF18">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Essuyez avec un chiffon sec. Utilisez un chiffon légèrement humide pour retirer les particules métalliques si nécessaire.</w:t>
      </w:r>
    </w:p>
    <w:p w14:paraId="44818CC2">
      <w:pPr>
        <w:pStyle w:val="8"/>
        <w:widowControl/>
        <w:numPr>
          <w:ilvl w:val="0"/>
          <w:numId w:val="2"/>
        </w:numPr>
        <w:ind w:firstLineChars="0"/>
        <w:jc w:val="left"/>
        <w:rPr>
          <w:rFonts w:eastAsia="宋体" w:cstheme="minorHAnsi"/>
          <w:kern w:val="0"/>
          <w:sz w:val="22"/>
          <w:szCs w:val="22"/>
          <w:highlight w:val="none"/>
          <w:lang w:bidi="ar"/>
        </w:rPr>
      </w:pPr>
      <w:bookmarkStart w:id="2" w:name="OLE_LINK3"/>
      <w:r>
        <w:rPr>
          <w:rFonts w:eastAsia="宋体" w:cstheme="minorHAnsi"/>
          <w:kern w:val="0"/>
          <w:sz w:val="22"/>
          <w:szCs w:val="22"/>
          <w:highlight w:val="none"/>
          <w:lang w:bidi="ar"/>
        </w:rPr>
        <w:t>Si des particules métalliques ou des résidus d'affûtage s'accumulent sur le tampon en silicone, retirez-le pour le nettoyer. Rincez-le et séchez-le complètement avant de le remettre en place.</w:t>
      </w:r>
    </w:p>
    <w:bookmarkEnd w:id="2"/>
    <w:p w14:paraId="3901BB6E">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Retirez la pile si l'appareil n'est pas utilisé pendant une période prolongée.</w:t>
      </w:r>
    </w:p>
    <w:p w14:paraId="12803358">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Rangez-le dans un endroit sec. Évitez les températures élevées et l'humidité.</w:t>
      </w:r>
    </w:p>
    <w:p w14:paraId="5B3E7C47">
      <w:pPr>
        <w:rPr>
          <w:rFonts w:eastAsia="宋体" w:cstheme="minorHAnsi"/>
          <w:sz w:val="22"/>
          <w:szCs w:val="22"/>
          <w:highlight w:val="none"/>
        </w:rPr>
      </w:pPr>
    </w:p>
    <w:p w14:paraId="07328A4F">
      <w:pPr>
        <w:rPr>
          <w:rFonts w:eastAsia="宋体" w:cstheme="minorHAnsi"/>
          <w:sz w:val="22"/>
          <w:szCs w:val="22"/>
          <w:highlight w:val="none"/>
        </w:rPr>
      </w:pPr>
      <w:r>
        <w:rPr>
          <w:rFonts w:eastAsia="宋体" w:cstheme="minorHAnsi"/>
          <w:b/>
          <w:bCs/>
          <w:sz w:val="22"/>
          <w:szCs w:val="22"/>
          <w:highlight w:val="none"/>
        </w:rPr>
        <w:t>AVERTISSEMENT RELATIF AUX AIMANTS：</w:t>
      </w:r>
      <w:r>
        <w:rPr>
          <w:rFonts w:eastAsia="宋体" w:cstheme="minorHAnsi"/>
          <w:sz w:val="22"/>
          <w:szCs w:val="22"/>
          <w:highlight w:val="none"/>
        </w:rPr>
        <w:t>Ce produit contient des aimants. Tenez-le éloigné des stimulateurs cardiaques, cartes de crédit, montres mécaniques et autres appareils sensibles aux champs magnétiques.</w:t>
      </w:r>
    </w:p>
    <w:p w14:paraId="38F0BC5C">
      <w:pPr>
        <w:rPr>
          <w:rFonts w:eastAsia="宋体" w:cstheme="minorHAnsi"/>
          <w:sz w:val="22"/>
          <w:szCs w:val="22"/>
          <w:highlight w:val="none"/>
        </w:rPr>
      </w:pPr>
    </w:p>
    <w:p w14:paraId="0676F017">
      <w:pPr>
        <w:rPr>
          <w:rFonts w:eastAsia="宋体" w:cstheme="minorHAnsi"/>
          <w:sz w:val="22"/>
          <w:szCs w:val="22"/>
          <w:highlight w:val="none"/>
        </w:rPr>
      </w:pPr>
      <w:r>
        <w:rPr>
          <w:rFonts w:cstheme="minorHAnsi"/>
          <w:sz w:val="22"/>
          <w:szCs w:val="22"/>
          <w:highlight w:val="none"/>
        </w:rPr>
        <w:t>*Regardez sa vidéo de démonstration sur YouTube :</w:t>
      </w:r>
    </w:p>
    <w:p w14:paraId="1BE54D97">
      <w:pPr>
        <w:widowControl/>
        <w:jc w:val="left"/>
        <w:rPr>
          <w:rFonts w:eastAsia="宋体" w:cstheme="minorHAnsi"/>
          <w:kern w:val="0"/>
          <w:sz w:val="22"/>
          <w:szCs w:val="22"/>
          <w:highlight w:val="none"/>
          <w:lang w:bidi="ar"/>
        </w:rPr>
      </w:pPr>
      <w:r>
        <w:rPr>
          <w:rFonts w:eastAsia="宋体" w:cstheme="minorHAnsi"/>
          <w:kern w:val="0"/>
          <w:sz w:val="22"/>
          <w:szCs w:val="22"/>
          <w:highlight w:val="none"/>
          <w:lang w:bidi="ar"/>
        </w:rPr>
        <w:t>Ou scannez le QR code</w:t>
      </w:r>
    </w:p>
    <w:p w14:paraId="46DE6C47">
      <w:pPr>
        <w:widowControl/>
        <w:jc w:val="left"/>
        <w:rPr>
          <w:rFonts w:eastAsia="宋体" w:cstheme="minorHAnsi"/>
          <w:kern w:val="0"/>
          <w:sz w:val="22"/>
          <w:szCs w:val="22"/>
          <w:highlight w:val="none"/>
          <w:lang w:bidi="ar"/>
        </w:rPr>
      </w:pPr>
    </w:p>
    <w:p w14:paraId="5DECB223">
      <w:pPr>
        <w:widowControl/>
        <w:jc w:val="left"/>
        <w:rPr>
          <w:rFonts w:cstheme="minorHAnsi"/>
          <w:sz w:val="22"/>
          <w:szCs w:val="22"/>
          <w:highlight w:val="none"/>
        </w:rPr>
      </w:pPr>
      <w:r>
        <w:rPr>
          <w:rFonts w:eastAsia="宋体" w:cstheme="minorHAnsi"/>
          <w:kern w:val="0"/>
          <w:sz w:val="22"/>
          <w:szCs w:val="22"/>
          <w:highlight w:val="none"/>
          <w:lang w:bidi="ar"/>
        </w:rPr>
        <w:t xml:space="preserve">*Chaque produit SHARPAL est garanti contre les défauts de matériaux et de fabrication </w:t>
      </w:r>
    </w:p>
    <w:p w14:paraId="5C7ADA74">
      <w:pPr>
        <w:widowControl/>
        <w:jc w:val="left"/>
        <w:rPr>
          <w:rFonts w:cstheme="minorHAnsi"/>
          <w:sz w:val="22"/>
          <w:szCs w:val="22"/>
          <w:highlight w:val="none"/>
        </w:rPr>
      </w:pPr>
      <w:r>
        <w:rPr>
          <w:rFonts w:eastAsia="宋体" w:cstheme="minorHAnsi"/>
          <w:kern w:val="0"/>
          <w:sz w:val="22"/>
          <w:szCs w:val="22"/>
          <w:highlight w:val="none"/>
          <w:lang w:bidi="ar"/>
        </w:rPr>
        <w:t xml:space="preserve">pendant </w:t>
      </w:r>
      <w:r>
        <w:rPr>
          <w:rFonts w:eastAsia="宋体" w:cstheme="minorHAnsi"/>
          <w:b/>
          <w:bCs/>
          <w:kern w:val="0"/>
          <w:sz w:val="22"/>
          <w:szCs w:val="22"/>
          <w:highlight w:val="none"/>
          <w:lang w:bidi="ar"/>
        </w:rPr>
        <w:t xml:space="preserve">3 ans </w:t>
      </w:r>
      <w:r>
        <w:rPr>
          <w:rFonts w:eastAsia="宋体" w:cstheme="minorHAnsi"/>
          <w:kern w:val="0"/>
          <w:sz w:val="22"/>
          <w:szCs w:val="22"/>
          <w:highlight w:val="none"/>
          <w:lang w:bidi="ar"/>
        </w:rPr>
        <w:t xml:space="preserve">à compter de la date d'achat dans des conditions d'usure normale, sauf en cas de dommage </w:t>
      </w:r>
    </w:p>
    <w:p w14:paraId="701B8A00">
      <w:pPr>
        <w:widowControl/>
        <w:jc w:val="left"/>
        <w:rPr>
          <w:rFonts w:cstheme="minorHAnsi"/>
          <w:sz w:val="22"/>
          <w:szCs w:val="22"/>
          <w:highlight w:val="none"/>
        </w:rPr>
      </w:pPr>
      <w:r>
        <w:rPr>
          <w:rFonts w:eastAsia="宋体" w:cstheme="minorHAnsi"/>
          <w:kern w:val="0"/>
          <w:sz w:val="22"/>
          <w:szCs w:val="22"/>
          <w:highlight w:val="none"/>
          <w:lang w:bidi="ar"/>
        </w:rPr>
        <w:t xml:space="preserve">causé par une mauvaise utilisation ou une modification. CETTE GARANTIE S'APPLIQUE UNIQUEMENT A UN USAGE NON INDUSTRIEL OU </w:t>
      </w:r>
    </w:p>
    <w:p w14:paraId="6B8A177C">
      <w:pPr>
        <w:widowControl/>
        <w:jc w:val="left"/>
        <w:rPr>
          <w:rFonts w:cstheme="minorHAnsi"/>
          <w:sz w:val="22"/>
          <w:szCs w:val="22"/>
          <w:highlight w:val="none"/>
        </w:rPr>
      </w:pPr>
      <w:r>
        <w:rPr>
          <w:rFonts w:eastAsia="宋体" w:cstheme="minorHAnsi"/>
          <w:kern w:val="0"/>
          <w:sz w:val="22"/>
          <w:szCs w:val="22"/>
          <w:highlight w:val="none"/>
          <w:lang w:bidi="ar"/>
        </w:rPr>
        <w:t xml:space="preserve">NON COMMERCIAL. Si vous souhaitez faire une réclamation au titre de la garantie, veuillez nous contacter via </w:t>
      </w:r>
    </w:p>
    <w:p w14:paraId="2BB3E90F">
      <w:pPr>
        <w:widowControl/>
        <w:jc w:val="left"/>
        <w:rPr>
          <w:rFonts w:cstheme="minorHAnsi"/>
          <w:sz w:val="22"/>
          <w:szCs w:val="22"/>
          <w:highlight w:val="none"/>
        </w:rPr>
      </w:pPr>
      <w:r>
        <w:rPr>
          <w:rFonts w:eastAsia="宋体" w:cstheme="minorHAnsi"/>
          <w:kern w:val="0"/>
          <w:sz w:val="22"/>
          <w:szCs w:val="22"/>
          <w:highlight w:val="none"/>
          <w:lang w:bidi="ar"/>
        </w:rPr>
        <w:t>le site web SHARPAL ou envoyer un e-mail directement à warranty@sharpal.com.</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991B71"/>
    <w:multiLevelType w:val="multilevel"/>
    <w:tmpl w:val="04991B7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849534F"/>
    <w:multiLevelType w:val="multilevel"/>
    <w:tmpl w:val="4849534F"/>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C5C"/>
    <w:rsid w:val="001477BE"/>
    <w:rsid w:val="002A6687"/>
    <w:rsid w:val="002B7B51"/>
    <w:rsid w:val="002C7DEB"/>
    <w:rsid w:val="002E4431"/>
    <w:rsid w:val="003754A7"/>
    <w:rsid w:val="003F39D7"/>
    <w:rsid w:val="004752C1"/>
    <w:rsid w:val="00531445"/>
    <w:rsid w:val="00553F21"/>
    <w:rsid w:val="0058779C"/>
    <w:rsid w:val="005A2C9F"/>
    <w:rsid w:val="005D56E9"/>
    <w:rsid w:val="005E4F29"/>
    <w:rsid w:val="005E7DA4"/>
    <w:rsid w:val="00646E32"/>
    <w:rsid w:val="006766EB"/>
    <w:rsid w:val="006979CC"/>
    <w:rsid w:val="006A3744"/>
    <w:rsid w:val="006C2720"/>
    <w:rsid w:val="00791A97"/>
    <w:rsid w:val="00800C2B"/>
    <w:rsid w:val="0080347F"/>
    <w:rsid w:val="008161AF"/>
    <w:rsid w:val="00824EFD"/>
    <w:rsid w:val="008A7569"/>
    <w:rsid w:val="008B6CF2"/>
    <w:rsid w:val="008D4D2F"/>
    <w:rsid w:val="00923FB6"/>
    <w:rsid w:val="009D6EC5"/>
    <w:rsid w:val="00AC668A"/>
    <w:rsid w:val="00AC677E"/>
    <w:rsid w:val="00B54BF9"/>
    <w:rsid w:val="00B62E01"/>
    <w:rsid w:val="00B90482"/>
    <w:rsid w:val="00C85F20"/>
    <w:rsid w:val="00CE36CB"/>
    <w:rsid w:val="00D526AE"/>
    <w:rsid w:val="00D81EA6"/>
    <w:rsid w:val="00D866BD"/>
    <w:rsid w:val="00DD3279"/>
    <w:rsid w:val="00E0167D"/>
    <w:rsid w:val="00E171B8"/>
    <w:rsid w:val="00E8241F"/>
    <w:rsid w:val="00EA2C5C"/>
    <w:rsid w:val="00ED3DFF"/>
    <w:rsid w:val="00EF0E30"/>
    <w:rsid w:val="00F30CA0"/>
    <w:rsid w:val="00F428B8"/>
    <w:rsid w:val="00F46A1E"/>
    <w:rsid w:val="00FA6081"/>
    <w:rsid w:val="00FC4D53"/>
    <w:rsid w:val="00FE37AD"/>
    <w:rsid w:val="010A08C5"/>
    <w:rsid w:val="01596446"/>
    <w:rsid w:val="015A1949"/>
    <w:rsid w:val="01777BF4"/>
    <w:rsid w:val="01820EA5"/>
    <w:rsid w:val="01A00DB8"/>
    <w:rsid w:val="01A95B07"/>
    <w:rsid w:val="01EB6013"/>
    <w:rsid w:val="01F2533F"/>
    <w:rsid w:val="021332F5"/>
    <w:rsid w:val="021C1A07"/>
    <w:rsid w:val="02382230"/>
    <w:rsid w:val="02586C81"/>
    <w:rsid w:val="02E76B51"/>
    <w:rsid w:val="031C5D26"/>
    <w:rsid w:val="0356048A"/>
    <w:rsid w:val="038012CE"/>
    <w:rsid w:val="03D454D5"/>
    <w:rsid w:val="03EB50FA"/>
    <w:rsid w:val="047A14E6"/>
    <w:rsid w:val="048F148B"/>
    <w:rsid w:val="04B50046"/>
    <w:rsid w:val="04C560E2"/>
    <w:rsid w:val="04DF6C8C"/>
    <w:rsid w:val="05035BC7"/>
    <w:rsid w:val="0504144A"/>
    <w:rsid w:val="050A0DD5"/>
    <w:rsid w:val="050D1D59"/>
    <w:rsid w:val="051D4572"/>
    <w:rsid w:val="05532473"/>
    <w:rsid w:val="058144EA"/>
    <w:rsid w:val="0583779A"/>
    <w:rsid w:val="058E3070"/>
    <w:rsid w:val="05B6346C"/>
    <w:rsid w:val="05D53D21"/>
    <w:rsid w:val="05DA5C2A"/>
    <w:rsid w:val="05E46539"/>
    <w:rsid w:val="064C4C64"/>
    <w:rsid w:val="06765AA8"/>
    <w:rsid w:val="068715C6"/>
    <w:rsid w:val="069408DC"/>
    <w:rsid w:val="06A046EE"/>
    <w:rsid w:val="06BE5E9C"/>
    <w:rsid w:val="06C11F14"/>
    <w:rsid w:val="06CC0A35"/>
    <w:rsid w:val="06EF446D"/>
    <w:rsid w:val="06FA6082"/>
    <w:rsid w:val="071C503B"/>
    <w:rsid w:val="07215F41"/>
    <w:rsid w:val="072239C3"/>
    <w:rsid w:val="072510C4"/>
    <w:rsid w:val="0750320D"/>
    <w:rsid w:val="0763634B"/>
    <w:rsid w:val="077F3D5C"/>
    <w:rsid w:val="07BC3BC1"/>
    <w:rsid w:val="07BF12C2"/>
    <w:rsid w:val="07C644D1"/>
    <w:rsid w:val="07C95455"/>
    <w:rsid w:val="07CF155D"/>
    <w:rsid w:val="07ED4390"/>
    <w:rsid w:val="0896666F"/>
    <w:rsid w:val="08A737BE"/>
    <w:rsid w:val="09A017D8"/>
    <w:rsid w:val="09A76BE4"/>
    <w:rsid w:val="09D54231"/>
    <w:rsid w:val="09D726B7"/>
    <w:rsid w:val="09E7414B"/>
    <w:rsid w:val="09FA536A"/>
    <w:rsid w:val="0A0B0E13"/>
    <w:rsid w:val="0A2B13BC"/>
    <w:rsid w:val="0A5F6393"/>
    <w:rsid w:val="0A745034"/>
    <w:rsid w:val="0A8607D1"/>
    <w:rsid w:val="0A924382"/>
    <w:rsid w:val="0A95665E"/>
    <w:rsid w:val="0AB74823"/>
    <w:rsid w:val="0AFA6591"/>
    <w:rsid w:val="0B102933"/>
    <w:rsid w:val="0B347670"/>
    <w:rsid w:val="0B393AF8"/>
    <w:rsid w:val="0B5E2A33"/>
    <w:rsid w:val="0B7102DF"/>
    <w:rsid w:val="0B8B64C8"/>
    <w:rsid w:val="0BB743C6"/>
    <w:rsid w:val="0BC97B63"/>
    <w:rsid w:val="0BDD0D82"/>
    <w:rsid w:val="0BF132A6"/>
    <w:rsid w:val="0BF928B1"/>
    <w:rsid w:val="0C1D53EF"/>
    <w:rsid w:val="0C2E7888"/>
    <w:rsid w:val="0C2F5309"/>
    <w:rsid w:val="0C840297"/>
    <w:rsid w:val="0CDF76AC"/>
    <w:rsid w:val="0CEB0F40"/>
    <w:rsid w:val="0D1E2A14"/>
    <w:rsid w:val="0D4548C2"/>
    <w:rsid w:val="0D906C7B"/>
    <w:rsid w:val="0D9074CF"/>
    <w:rsid w:val="0DB64F07"/>
    <w:rsid w:val="0DC36A25"/>
    <w:rsid w:val="0DFA10FD"/>
    <w:rsid w:val="0E0407B3"/>
    <w:rsid w:val="0E224840"/>
    <w:rsid w:val="0E3C75E8"/>
    <w:rsid w:val="0E5C239D"/>
    <w:rsid w:val="0E8222DB"/>
    <w:rsid w:val="0E856AE3"/>
    <w:rsid w:val="0E9B0C86"/>
    <w:rsid w:val="0EAA7C1C"/>
    <w:rsid w:val="0EB55FAD"/>
    <w:rsid w:val="0EC606D6"/>
    <w:rsid w:val="0ED31895"/>
    <w:rsid w:val="0ED92CE9"/>
    <w:rsid w:val="0F0A004B"/>
    <w:rsid w:val="0F0E7940"/>
    <w:rsid w:val="0F135898"/>
    <w:rsid w:val="0F1F345E"/>
    <w:rsid w:val="0F665DD1"/>
    <w:rsid w:val="0FBD7DE5"/>
    <w:rsid w:val="0FE10096"/>
    <w:rsid w:val="0FE92B27"/>
    <w:rsid w:val="0FF33436"/>
    <w:rsid w:val="10331D08"/>
    <w:rsid w:val="104E02CD"/>
    <w:rsid w:val="1057315A"/>
    <w:rsid w:val="1058445F"/>
    <w:rsid w:val="106C3100"/>
    <w:rsid w:val="108407A7"/>
    <w:rsid w:val="109045B9"/>
    <w:rsid w:val="109777C7"/>
    <w:rsid w:val="109A074C"/>
    <w:rsid w:val="109C57D8"/>
    <w:rsid w:val="109D16D1"/>
    <w:rsid w:val="10A6675D"/>
    <w:rsid w:val="10AA5163"/>
    <w:rsid w:val="10D80231"/>
    <w:rsid w:val="10F036D9"/>
    <w:rsid w:val="10F058D7"/>
    <w:rsid w:val="10FC4F6D"/>
    <w:rsid w:val="11516BF6"/>
    <w:rsid w:val="11AB3E0C"/>
    <w:rsid w:val="11AF0294"/>
    <w:rsid w:val="11B02492"/>
    <w:rsid w:val="11B71E1D"/>
    <w:rsid w:val="11BC4D20"/>
    <w:rsid w:val="11E9006E"/>
    <w:rsid w:val="11F10CFD"/>
    <w:rsid w:val="122E65E4"/>
    <w:rsid w:val="12312047"/>
    <w:rsid w:val="123C58FA"/>
    <w:rsid w:val="124064FE"/>
    <w:rsid w:val="126B2BC5"/>
    <w:rsid w:val="127669D8"/>
    <w:rsid w:val="12843C71"/>
    <w:rsid w:val="12953A0A"/>
    <w:rsid w:val="12E93494"/>
    <w:rsid w:val="13031039"/>
    <w:rsid w:val="13064FC2"/>
    <w:rsid w:val="130E5C52"/>
    <w:rsid w:val="13410312"/>
    <w:rsid w:val="136611DE"/>
    <w:rsid w:val="136662E0"/>
    <w:rsid w:val="13777FE7"/>
    <w:rsid w:val="13845E37"/>
    <w:rsid w:val="13A3232F"/>
    <w:rsid w:val="13BA3DEE"/>
    <w:rsid w:val="13D77899"/>
    <w:rsid w:val="13F10443"/>
    <w:rsid w:val="13F526CC"/>
    <w:rsid w:val="14283047"/>
    <w:rsid w:val="14480E52"/>
    <w:rsid w:val="14522278"/>
    <w:rsid w:val="14534C64"/>
    <w:rsid w:val="147719A1"/>
    <w:rsid w:val="14A511EB"/>
    <w:rsid w:val="14C10B1B"/>
    <w:rsid w:val="14EC73E1"/>
    <w:rsid w:val="1510411E"/>
    <w:rsid w:val="15743E42"/>
    <w:rsid w:val="15A83398"/>
    <w:rsid w:val="15AB651B"/>
    <w:rsid w:val="15BD7ABA"/>
    <w:rsid w:val="15CA6DCF"/>
    <w:rsid w:val="15DB706A"/>
    <w:rsid w:val="15E169F5"/>
    <w:rsid w:val="15F0598A"/>
    <w:rsid w:val="160C7839"/>
    <w:rsid w:val="16344EEE"/>
    <w:rsid w:val="16394E85"/>
    <w:rsid w:val="165D633E"/>
    <w:rsid w:val="165F72C3"/>
    <w:rsid w:val="167E42F4"/>
    <w:rsid w:val="168A1024"/>
    <w:rsid w:val="168F2010"/>
    <w:rsid w:val="1694429A"/>
    <w:rsid w:val="16D354A0"/>
    <w:rsid w:val="16DD5993"/>
    <w:rsid w:val="17301B9A"/>
    <w:rsid w:val="17475506"/>
    <w:rsid w:val="17487240"/>
    <w:rsid w:val="174E114A"/>
    <w:rsid w:val="178939B5"/>
    <w:rsid w:val="17B80B79"/>
    <w:rsid w:val="17CA6515"/>
    <w:rsid w:val="17F376D9"/>
    <w:rsid w:val="18052E77"/>
    <w:rsid w:val="180E5D05"/>
    <w:rsid w:val="18123134"/>
    <w:rsid w:val="181C2A9C"/>
    <w:rsid w:val="18434EDA"/>
    <w:rsid w:val="184B7D68"/>
    <w:rsid w:val="18650063"/>
    <w:rsid w:val="18664195"/>
    <w:rsid w:val="18671C16"/>
    <w:rsid w:val="18877F4D"/>
    <w:rsid w:val="189204DC"/>
    <w:rsid w:val="18AC4909"/>
    <w:rsid w:val="18BA5E1D"/>
    <w:rsid w:val="18BD6DA2"/>
    <w:rsid w:val="18D137D6"/>
    <w:rsid w:val="18E86CED"/>
    <w:rsid w:val="18ED5373"/>
    <w:rsid w:val="192D615C"/>
    <w:rsid w:val="19582824"/>
    <w:rsid w:val="19613133"/>
    <w:rsid w:val="198C19F9"/>
    <w:rsid w:val="19B915C3"/>
    <w:rsid w:val="1A1815DD"/>
    <w:rsid w:val="1A1928E2"/>
    <w:rsid w:val="1A761976"/>
    <w:rsid w:val="1A9234A5"/>
    <w:rsid w:val="1AEC4E38"/>
    <w:rsid w:val="1AF60FCB"/>
    <w:rsid w:val="1B125078"/>
    <w:rsid w:val="1B3E13BF"/>
    <w:rsid w:val="1B550FE4"/>
    <w:rsid w:val="1B586E3F"/>
    <w:rsid w:val="1B5F18F4"/>
    <w:rsid w:val="1B776F9B"/>
    <w:rsid w:val="1B7D6926"/>
    <w:rsid w:val="1BB44881"/>
    <w:rsid w:val="1BD702B9"/>
    <w:rsid w:val="1C26713F"/>
    <w:rsid w:val="1C561E8C"/>
    <w:rsid w:val="1C756EBE"/>
    <w:rsid w:val="1C7C3F39"/>
    <w:rsid w:val="1C8C52C0"/>
    <w:rsid w:val="1C8D4564"/>
    <w:rsid w:val="1C951971"/>
    <w:rsid w:val="1CB07F9C"/>
    <w:rsid w:val="1CB82E2A"/>
    <w:rsid w:val="1CFA299A"/>
    <w:rsid w:val="1CFC261A"/>
    <w:rsid w:val="1D0F70BC"/>
    <w:rsid w:val="1D212567"/>
    <w:rsid w:val="1D2B351D"/>
    <w:rsid w:val="1D707DE9"/>
    <w:rsid w:val="1D790CEA"/>
    <w:rsid w:val="1D8C4487"/>
    <w:rsid w:val="1DB268C5"/>
    <w:rsid w:val="1DBA78EC"/>
    <w:rsid w:val="1DD16623"/>
    <w:rsid w:val="1DEF672A"/>
    <w:rsid w:val="1DF51E9C"/>
    <w:rsid w:val="1EA85B59"/>
    <w:rsid w:val="1EE47F3C"/>
    <w:rsid w:val="1EE937D9"/>
    <w:rsid w:val="1F022D6F"/>
    <w:rsid w:val="1F187491"/>
    <w:rsid w:val="1F20231F"/>
    <w:rsid w:val="1F2A29CF"/>
    <w:rsid w:val="1F371F44"/>
    <w:rsid w:val="1F3D3E4E"/>
    <w:rsid w:val="1F466CDC"/>
    <w:rsid w:val="1F516372"/>
    <w:rsid w:val="1F597EFB"/>
    <w:rsid w:val="1F612F71"/>
    <w:rsid w:val="1F62545B"/>
    <w:rsid w:val="1F693A18"/>
    <w:rsid w:val="1FF32ECF"/>
    <w:rsid w:val="1FFE648A"/>
    <w:rsid w:val="201A5DBA"/>
    <w:rsid w:val="202750D0"/>
    <w:rsid w:val="20820C62"/>
    <w:rsid w:val="20AC1AA6"/>
    <w:rsid w:val="20B27232"/>
    <w:rsid w:val="214A06AB"/>
    <w:rsid w:val="216D7966"/>
    <w:rsid w:val="21816606"/>
    <w:rsid w:val="21AD074F"/>
    <w:rsid w:val="21E01EA3"/>
    <w:rsid w:val="220E6500"/>
    <w:rsid w:val="22194E4C"/>
    <w:rsid w:val="22214E8B"/>
    <w:rsid w:val="224F7F58"/>
    <w:rsid w:val="225059DA"/>
    <w:rsid w:val="225E4CF0"/>
    <w:rsid w:val="228274AE"/>
    <w:rsid w:val="22985DCE"/>
    <w:rsid w:val="22B221FB"/>
    <w:rsid w:val="22BB35F2"/>
    <w:rsid w:val="22E22D4A"/>
    <w:rsid w:val="23256CB7"/>
    <w:rsid w:val="233B46DE"/>
    <w:rsid w:val="234B4D5C"/>
    <w:rsid w:val="234F58FD"/>
    <w:rsid w:val="235237BB"/>
    <w:rsid w:val="23720241"/>
    <w:rsid w:val="238C7960"/>
    <w:rsid w:val="23AE5916"/>
    <w:rsid w:val="23AF3398"/>
    <w:rsid w:val="241B5F4A"/>
    <w:rsid w:val="24283062"/>
    <w:rsid w:val="2444388B"/>
    <w:rsid w:val="244625F2"/>
    <w:rsid w:val="245F0DC4"/>
    <w:rsid w:val="247321DC"/>
    <w:rsid w:val="247578DE"/>
    <w:rsid w:val="247962E4"/>
    <w:rsid w:val="24A03FA5"/>
    <w:rsid w:val="24AA2210"/>
    <w:rsid w:val="24AE0D3C"/>
    <w:rsid w:val="24AF67BE"/>
    <w:rsid w:val="24BB25D0"/>
    <w:rsid w:val="24BD3555"/>
    <w:rsid w:val="24D95404"/>
    <w:rsid w:val="24E76918"/>
    <w:rsid w:val="24F76BB2"/>
    <w:rsid w:val="25525FC7"/>
    <w:rsid w:val="256604EB"/>
    <w:rsid w:val="25783C88"/>
    <w:rsid w:val="258864A1"/>
    <w:rsid w:val="25B65CEB"/>
    <w:rsid w:val="25BE5FC6"/>
    <w:rsid w:val="25CB240D"/>
    <w:rsid w:val="25DE142E"/>
    <w:rsid w:val="25E258B6"/>
    <w:rsid w:val="260E7545"/>
    <w:rsid w:val="26606184"/>
    <w:rsid w:val="268166B9"/>
    <w:rsid w:val="26A80AF7"/>
    <w:rsid w:val="26A86D7E"/>
    <w:rsid w:val="26AA787D"/>
    <w:rsid w:val="26B119D0"/>
    <w:rsid w:val="26C55EA9"/>
    <w:rsid w:val="26CB5833"/>
    <w:rsid w:val="26DB38D0"/>
    <w:rsid w:val="26EE4AEF"/>
    <w:rsid w:val="27085698"/>
    <w:rsid w:val="272E2055"/>
    <w:rsid w:val="273242DE"/>
    <w:rsid w:val="27833A63"/>
    <w:rsid w:val="27BB513C"/>
    <w:rsid w:val="27CF1BDE"/>
    <w:rsid w:val="27F84FA1"/>
    <w:rsid w:val="280A073E"/>
    <w:rsid w:val="2819328C"/>
    <w:rsid w:val="282B44F6"/>
    <w:rsid w:val="28347384"/>
    <w:rsid w:val="28400C18"/>
    <w:rsid w:val="28645955"/>
    <w:rsid w:val="287E64FF"/>
    <w:rsid w:val="288D0D17"/>
    <w:rsid w:val="289B3A6A"/>
    <w:rsid w:val="28B83071"/>
    <w:rsid w:val="28DD795B"/>
    <w:rsid w:val="28E9232B"/>
    <w:rsid w:val="28FF44CE"/>
    <w:rsid w:val="290563D8"/>
    <w:rsid w:val="290C15E6"/>
    <w:rsid w:val="293D1DB5"/>
    <w:rsid w:val="29485BC7"/>
    <w:rsid w:val="295E7D6B"/>
    <w:rsid w:val="29A504DF"/>
    <w:rsid w:val="29A77266"/>
    <w:rsid w:val="29AA70BF"/>
    <w:rsid w:val="29BD1409"/>
    <w:rsid w:val="29C92C9E"/>
    <w:rsid w:val="29E647CC"/>
    <w:rsid w:val="2A093A87"/>
    <w:rsid w:val="2A16531B"/>
    <w:rsid w:val="2A194EC4"/>
    <w:rsid w:val="2A261D32"/>
    <w:rsid w:val="2A3732D1"/>
    <w:rsid w:val="2A552882"/>
    <w:rsid w:val="2A687324"/>
    <w:rsid w:val="2A7243B0"/>
    <w:rsid w:val="2A8668D4"/>
    <w:rsid w:val="2A994270"/>
    <w:rsid w:val="2A9A1CF1"/>
    <w:rsid w:val="2ABE6A2E"/>
    <w:rsid w:val="2AFE7817"/>
    <w:rsid w:val="2B3012EB"/>
    <w:rsid w:val="2B341EF0"/>
    <w:rsid w:val="2B623CB8"/>
    <w:rsid w:val="2B642A3F"/>
    <w:rsid w:val="2B681445"/>
    <w:rsid w:val="2B98090B"/>
    <w:rsid w:val="2BA33828"/>
    <w:rsid w:val="2BA8442D"/>
    <w:rsid w:val="2C0525C8"/>
    <w:rsid w:val="2C536276"/>
    <w:rsid w:val="2C9E14C2"/>
    <w:rsid w:val="2CAF71DE"/>
    <w:rsid w:val="2CE463B3"/>
    <w:rsid w:val="2CF1172E"/>
    <w:rsid w:val="2D005CE3"/>
    <w:rsid w:val="2D152405"/>
    <w:rsid w:val="2D3055C0"/>
    <w:rsid w:val="2D3F3249"/>
    <w:rsid w:val="2D5B50F8"/>
    <w:rsid w:val="2D5C2B7A"/>
    <w:rsid w:val="2DCC08AF"/>
    <w:rsid w:val="2DFA177E"/>
    <w:rsid w:val="2E0C4F1C"/>
    <w:rsid w:val="2E246D3F"/>
    <w:rsid w:val="2E2F2B52"/>
    <w:rsid w:val="2E7E3F56"/>
    <w:rsid w:val="2E8B79E8"/>
    <w:rsid w:val="2EA0410A"/>
    <w:rsid w:val="2EA0798E"/>
    <w:rsid w:val="2EB92AB6"/>
    <w:rsid w:val="2EC333C5"/>
    <w:rsid w:val="2F0363AD"/>
    <w:rsid w:val="2F093B3A"/>
    <w:rsid w:val="2F2B5748"/>
    <w:rsid w:val="2F4B7E26"/>
    <w:rsid w:val="2F552934"/>
    <w:rsid w:val="2F683B53"/>
    <w:rsid w:val="2F750C6B"/>
    <w:rsid w:val="2F922799"/>
    <w:rsid w:val="2F992124"/>
    <w:rsid w:val="2FFB21C9"/>
    <w:rsid w:val="3006055A"/>
    <w:rsid w:val="30075FDB"/>
    <w:rsid w:val="300E0D08"/>
    <w:rsid w:val="303F3BB7"/>
    <w:rsid w:val="30463541"/>
    <w:rsid w:val="30976EBF"/>
    <w:rsid w:val="30AC6769"/>
    <w:rsid w:val="30CF21A1"/>
    <w:rsid w:val="30D30BA7"/>
    <w:rsid w:val="30E1593E"/>
    <w:rsid w:val="30EB1633"/>
    <w:rsid w:val="31102C0A"/>
    <w:rsid w:val="31152915"/>
    <w:rsid w:val="311C22A0"/>
    <w:rsid w:val="311E57A3"/>
    <w:rsid w:val="311F31F4"/>
    <w:rsid w:val="313169C2"/>
    <w:rsid w:val="314743E9"/>
    <w:rsid w:val="314F17F5"/>
    <w:rsid w:val="316A7E21"/>
    <w:rsid w:val="31971BEA"/>
    <w:rsid w:val="31BA0EA5"/>
    <w:rsid w:val="31C35F31"/>
    <w:rsid w:val="320C1BA8"/>
    <w:rsid w:val="32134DB6"/>
    <w:rsid w:val="326170B4"/>
    <w:rsid w:val="326844C0"/>
    <w:rsid w:val="32907C03"/>
    <w:rsid w:val="3295408B"/>
    <w:rsid w:val="32B20E2F"/>
    <w:rsid w:val="32D60378"/>
    <w:rsid w:val="32DB0F7C"/>
    <w:rsid w:val="33091308"/>
    <w:rsid w:val="333E6AA2"/>
    <w:rsid w:val="335B05D1"/>
    <w:rsid w:val="33AE1D74"/>
    <w:rsid w:val="33C259F7"/>
    <w:rsid w:val="34106DFB"/>
    <w:rsid w:val="342D50A6"/>
    <w:rsid w:val="347D612A"/>
    <w:rsid w:val="347E742F"/>
    <w:rsid w:val="34833930"/>
    <w:rsid w:val="34890A11"/>
    <w:rsid w:val="34915F15"/>
    <w:rsid w:val="349C315B"/>
    <w:rsid w:val="34C26C1E"/>
    <w:rsid w:val="34C3689E"/>
    <w:rsid w:val="34EF2BE5"/>
    <w:rsid w:val="352B2DCA"/>
    <w:rsid w:val="354B7A7C"/>
    <w:rsid w:val="356A4AAD"/>
    <w:rsid w:val="35AA111A"/>
    <w:rsid w:val="35D20DC3"/>
    <w:rsid w:val="35FE2DA3"/>
    <w:rsid w:val="3652282D"/>
    <w:rsid w:val="36556CB0"/>
    <w:rsid w:val="366C2570"/>
    <w:rsid w:val="367F45F6"/>
    <w:rsid w:val="36832FFC"/>
    <w:rsid w:val="369672C2"/>
    <w:rsid w:val="369A2C21"/>
    <w:rsid w:val="36A003AE"/>
    <w:rsid w:val="36A31332"/>
    <w:rsid w:val="36A50FB2"/>
    <w:rsid w:val="36DB148C"/>
    <w:rsid w:val="37250607"/>
    <w:rsid w:val="372721A3"/>
    <w:rsid w:val="372F4799"/>
    <w:rsid w:val="3732571E"/>
    <w:rsid w:val="37373DA4"/>
    <w:rsid w:val="376400EB"/>
    <w:rsid w:val="37822F1F"/>
    <w:rsid w:val="378E47B3"/>
    <w:rsid w:val="37B13A6E"/>
    <w:rsid w:val="37B449F3"/>
    <w:rsid w:val="37DF32B8"/>
    <w:rsid w:val="383D5850"/>
    <w:rsid w:val="38D47048"/>
    <w:rsid w:val="38DF0C5D"/>
    <w:rsid w:val="392513D1"/>
    <w:rsid w:val="392B32DA"/>
    <w:rsid w:val="394C5A0D"/>
    <w:rsid w:val="395E3DBA"/>
    <w:rsid w:val="396E39C4"/>
    <w:rsid w:val="39910DD9"/>
    <w:rsid w:val="3997260A"/>
    <w:rsid w:val="39BB287B"/>
    <w:rsid w:val="39C678D5"/>
    <w:rsid w:val="39D03A68"/>
    <w:rsid w:val="39DD52FC"/>
    <w:rsid w:val="39F32D23"/>
    <w:rsid w:val="39F529A3"/>
    <w:rsid w:val="39FA48AC"/>
    <w:rsid w:val="3A29797A"/>
    <w:rsid w:val="3A445FA5"/>
    <w:rsid w:val="3A5706CA"/>
    <w:rsid w:val="3A7B6D7A"/>
    <w:rsid w:val="3A8A2E97"/>
    <w:rsid w:val="3AA70248"/>
    <w:rsid w:val="3AFE1F63"/>
    <w:rsid w:val="3B071567"/>
    <w:rsid w:val="3B3A303A"/>
    <w:rsid w:val="3B43394A"/>
    <w:rsid w:val="3B4648CF"/>
    <w:rsid w:val="3B512C60"/>
    <w:rsid w:val="3B60677A"/>
    <w:rsid w:val="3B9114CB"/>
    <w:rsid w:val="3B947FA9"/>
    <w:rsid w:val="3BA8586D"/>
    <w:rsid w:val="3BC5739B"/>
    <w:rsid w:val="3BC83BA3"/>
    <w:rsid w:val="3BF16F66"/>
    <w:rsid w:val="3C1A48A7"/>
    <w:rsid w:val="3C3D3B62"/>
    <w:rsid w:val="3C7B6ECA"/>
    <w:rsid w:val="3C941FF2"/>
    <w:rsid w:val="3C9B197D"/>
    <w:rsid w:val="3CF62F90"/>
    <w:rsid w:val="3CFB7418"/>
    <w:rsid w:val="3D052D63"/>
    <w:rsid w:val="3D08452F"/>
    <w:rsid w:val="3D3C4E79"/>
    <w:rsid w:val="3D3D4FC4"/>
    <w:rsid w:val="3D461E16"/>
    <w:rsid w:val="3D581D30"/>
    <w:rsid w:val="3D6A0D51"/>
    <w:rsid w:val="3D7106DB"/>
    <w:rsid w:val="3DBC381D"/>
    <w:rsid w:val="3DCA67EC"/>
    <w:rsid w:val="3DD119FA"/>
    <w:rsid w:val="3DF17D30"/>
    <w:rsid w:val="3DF504B9"/>
    <w:rsid w:val="3E243A02"/>
    <w:rsid w:val="3E3A573A"/>
    <w:rsid w:val="3E630F69"/>
    <w:rsid w:val="3E941738"/>
    <w:rsid w:val="3ED944FA"/>
    <w:rsid w:val="3EE26F73"/>
    <w:rsid w:val="3EFC5C64"/>
    <w:rsid w:val="3F2200A2"/>
    <w:rsid w:val="3F484A5E"/>
    <w:rsid w:val="3F815EBD"/>
    <w:rsid w:val="3FB76397"/>
    <w:rsid w:val="3FBC281F"/>
    <w:rsid w:val="3FF2486E"/>
    <w:rsid w:val="3FF42B09"/>
    <w:rsid w:val="407D28DD"/>
    <w:rsid w:val="409A0B88"/>
    <w:rsid w:val="40A73721"/>
    <w:rsid w:val="40AA46A6"/>
    <w:rsid w:val="40F612A2"/>
    <w:rsid w:val="412E6E7D"/>
    <w:rsid w:val="4138778D"/>
    <w:rsid w:val="4139520E"/>
    <w:rsid w:val="414B13C4"/>
    <w:rsid w:val="41535DB8"/>
    <w:rsid w:val="416050CE"/>
    <w:rsid w:val="417C49FE"/>
    <w:rsid w:val="41932425"/>
    <w:rsid w:val="41A945C9"/>
    <w:rsid w:val="41BA3087"/>
    <w:rsid w:val="41BF676C"/>
    <w:rsid w:val="421F7A8A"/>
    <w:rsid w:val="422C351D"/>
    <w:rsid w:val="42461EC8"/>
    <w:rsid w:val="42775F1B"/>
    <w:rsid w:val="42850F5B"/>
    <w:rsid w:val="42947A49"/>
    <w:rsid w:val="42A70C68"/>
    <w:rsid w:val="42AE05F3"/>
    <w:rsid w:val="42C84A20"/>
    <w:rsid w:val="42CA46A0"/>
    <w:rsid w:val="42D617B7"/>
    <w:rsid w:val="42F75C15"/>
    <w:rsid w:val="43254DBA"/>
    <w:rsid w:val="432C0EC1"/>
    <w:rsid w:val="43C845C3"/>
    <w:rsid w:val="43D922DF"/>
    <w:rsid w:val="43FE6778"/>
    <w:rsid w:val="441C07CA"/>
    <w:rsid w:val="4442648B"/>
    <w:rsid w:val="44572BAD"/>
    <w:rsid w:val="44A97134"/>
    <w:rsid w:val="44B52F47"/>
    <w:rsid w:val="44B9194D"/>
    <w:rsid w:val="44E05090"/>
    <w:rsid w:val="451A3F70"/>
    <w:rsid w:val="45412B2B"/>
    <w:rsid w:val="45462836"/>
    <w:rsid w:val="454D7C42"/>
    <w:rsid w:val="454F3145"/>
    <w:rsid w:val="457F5E93"/>
    <w:rsid w:val="45824C19"/>
    <w:rsid w:val="4587329F"/>
    <w:rsid w:val="45A560D2"/>
    <w:rsid w:val="45B32E6A"/>
    <w:rsid w:val="45D50E20"/>
    <w:rsid w:val="45D668A1"/>
    <w:rsid w:val="45DA52A8"/>
    <w:rsid w:val="461B3B13"/>
    <w:rsid w:val="46325936"/>
    <w:rsid w:val="46513C09"/>
    <w:rsid w:val="465F0D84"/>
    <w:rsid w:val="46AE0B03"/>
    <w:rsid w:val="46BA0199"/>
    <w:rsid w:val="46BF681F"/>
    <w:rsid w:val="46D27A3E"/>
    <w:rsid w:val="46FE3D85"/>
    <w:rsid w:val="47423575"/>
    <w:rsid w:val="477F33DA"/>
    <w:rsid w:val="479C078C"/>
    <w:rsid w:val="47A55818"/>
    <w:rsid w:val="47B34B2D"/>
    <w:rsid w:val="47F830A4"/>
    <w:rsid w:val="484A762B"/>
    <w:rsid w:val="48586940"/>
    <w:rsid w:val="485F62CB"/>
    <w:rsid w:val="486758D6"/>
    <w:rsid w:val="48BF75E9"/>
    <w:rsid w:val="49015AD4"/>
    <w:rsid w:val="49252811"/>
    <w:rsid w:val="495F5E6E"/>
    <w:rsid w:val="496557F9"/>
    <w:rsid w:val="49825129"/>
    <w:rsid w:val="49877032"/>
    <w:rsid w:val="49B91A00"/>
    <w:rsid w:val="49F34163"/>
    <w:rsid w:val="49F9606C"/>
    <w:rsid w:val="49FA3AEE"/>
    <w:rsid w:val="4A080885"/>
    <w:rsid w:val="4A0A0505"/>
    <w:rsid w:val="4A4E6A63"/>
    <w:rsid w:val="4A653674"/>
    <w:rsid w:val="4A9A2372"/>
    <w:rsid w:val="4A9C5875"/>
    <w:rsid w:val="4AB11F98"/>
    <w:rsid w:val="4ACA50C0"/>
    <w:rsid w:val="4ACC05C3"/>
    <w:rsid w:val="4ACD22A7"/>
    <w:rsid w:val="4AD81E57"/>
    <w:rsid w:val="4AE301E8"/>
    <w:rsid w:val="4AE536EB"/>
    <w:rsid w:val="4AF14F7F"/>
    <w:rsid w:val="4B32706E"/>
    <w:rsid w:val="4B585C28"/>
    <w:rsid w:val="4B7145D4"/>
    <w:rsid w:val="4B7919E0"/>
    <w:rsid w:val="4B952E6B"/>
    <w:rsid w:val="4B96350F"/>
    <w:rsid w:val="4BC42D59"/>
    <w:rsid w:val="4BE541EC"/>
    <w:rsid w:val="4C012BBE"/>
    <w:rsid w:val="4C1172D9"/>
    <w:rsid w:val="4C1705E5"/>
    <w:rsid w:val="4C205671"/>
    <w:rsid w:val="4C384871"/>
    <w:rsid w:val="4C544BC7"/>
    <w:rsid w:val="4C60645B"/>
    <w:rsid w:val="4C870899"/>
    <w:rsid w:val="4CA0731E"/>
    <w:rsid w:val="4CB9236D"/>
    <w:rsid w:val="4CBD45F6"/>
    <w:rsid w:val="4CBF4276"/>
    <w:rsid w:val="4CEC603F"/>
    <w:rsid w:val="4D1C4610"/>
    <w:rsid w:val="4D1F5594"/>
    <w:rsid w:val="4D283CA5"/>
    <w:rsid w:val="4D3C74E9"/>
    <w:rsid w:val="4D655D09"/>
    <w:rsid w:val="4D773A25"/>
    <w:rsid w:val="4D796F28"/>
    <w:rsid w:val="4D827837"/>
    <w:rsid w:val="4DC8252A"/>
    <w:rsid w:val="4DF036EE"/>
    <w:rsid w:val="4DFA077B"/>
    <w:rsid w:val="4E000105"/>
    <w:rsid w:val="4E03108A"/>
    <w:rsid w:val="4E1061A1"/>
    <w:rsid w:val="4E144BA8"/>
    <w:rsid w:val="4E2F31D3"/>
    <w:rsid w:val="4E3E59EC"/>
    <w:rsid w:val="4E7A0A87"/>
    <w:rsid w:val="4E7C7A4F"/>
    <w:rsid w:val="4E856160"/>
    <w:rsid w:val="4E9066F0"/>
    <w:rsid w:val="4EBC62BA"/>
    <w:rsid w:val="4EBF151B"/>
    <w:rsid w:val="4EC51148"/>
    <w:rsid w:val="4EC66BCA"/>
    <w:rsid w:val="4ECF2E30"/>
    <w:rsid w:val="4ED33CE1"/>
    <w:rsid w:val="4F065435"/>
    <w:rsid w:val="4F1D2E5C"/>
    <w:rsid w:val="4F2E0B78"/>
    <w:rsid w:val="4F447498"/>
    <w:rsid w:val="4F493920"/>
    <w:rsid w:val="4F676753"/>
    <w:rsid w:val="4F8F7917"/>
    <w:rsid w:val="4F925019"/>
    <w:rsid w:val="50116BEC"/>
    <w:rsid w:val="50BC3801"/>
    <w:rsid w:val="50DB62B4"/>
    <w:rsid w:val="510164F4"/>
    <w:rsid w:val="512579AE"/>
    <w:rsid w:val="513015C2"/>
    <w:rsid w:val="513F3DDB"/>
    <w:rsid w:val="514F07F2"/>
    <w:rsid w:val="51517578"/>
    <w:rsid w:val="51937FE1"/>
    <w:rsid w:val="519B66F3"/>
    <w:rsid w:val="51CB39BF"/>
    <w:rsid w:val="51DE0461"/>
    <w:rsid w:val="51F34B83"/>
    <w:rsid w:val="5202191A"/>
    <w:rsid w:val="521D2144"/>
    <w:rsid w:val="522D01E0"/>
    <w:rsid w:val="524B7790"/>
    <w:rsid w:val="52BC45CC"/>
    <w:rsid w:val="535556C4"/>
    <w:rsid w:val="537539FA"/>
    <w:rsid w:val="53E143AE"/>
    <w:rsid w:val="53FD045B"/>
    <w:rsid w:val="540E28F4"/>
    <w:rsid w:val="541B7A0B"/>
    <w:rsid w:val="54211915"/>
    <w:rsid w:val="54221594"/>
    <w:rsid w:val="54366037"/>
    <w:rsid w:val="544929FF"/>
    <w:rsid w:val="54595F7A"/>
    <w:rsid w:val="54A87573"/>
    <w:rsid w:val="54C67EA4"/>
    <w:rsid w:val="54F2189F"/>
    <w:rsid w:val="54FB4AFB"/>
    <w:rsid w:val="55276C44"/>
    <w:rsid w:val="552F624E"/>
    <w:rsid w:val="55547CC2"/>
    <w:rsid w:val="555A7093"/>
    <w:rsid w:val="558624E1"/>
    <w:rsid w:val="55935C72"/>
    <w:rsid w:val="55951476"/>
    <w:rsid w:val="559801FC"/>
    <w:rsid w:val="55C05B3D"/>
    <w:rsid w:val="5604532D"/>
    <w:rsid w:val="560A1435"/>
    <w:rsid w:val="561D0456"/>
    <w:rsid w:val="56245862"/>
    <w:rsid w:val="562C1C22"/>
    <w:rsid w:val="563A7A06"/>
    <w:rsid w:val="565428FA"/>
    <w:rsid w:val="56553E33"/>
    <w:rsid w:val="565D1E21"/>
    <w:rsid w:val="56957124"/>
    <w:rsid w:val="56AC22C3"/>
    <w:rsid w:val="56B43E4C"/>
    <w:rsid w:val="56E90AA3"/>
    <w:rsid w:val="56F426B7"/>
    <w:rsid w:val="570219CD"/>
    <w:rsid w:val="5714516A"/>
    <w:rsid w:val="573840A5"/>
    <w:rsid w:val="574D7FBA"/>
    <w:rsid w:val="57722F85"/>
    <w:rsid w:val="577E261B"/>
    <w:rsid w:val="579B08C7"/>
    <w:rsid w:val="57E532C4"/>
    <w:rsid w:val="57E60D46"/>
    <w:rsid w:val="57EF3BD4"/>
    <w:rsid w:val="58030846"/>
    <w:rsid w:val="58223786"/>
    <w:rsid w:val="58481CE4"/>
    <w:rsid w:val="585722FF"/>
    <w:rsid w:val="585A3283"/>
    <w:rsid w:val="585D6406"/>
    <w:rsid w:val="587B59B6"/>
    <w:rsid w:val="58BF0A29"/>
    <w:rsid w:val="58C219AE"/>
    <w:rsid w:val="58DF56DB"/>
    <w:rsid w:val="591C553F"/>
    <w:rsid w:val="593B5DF4"/>
    <w:rsid w:val="59450902"/>
    <w:rsid w:val="59762756"/>
    <w:rsid w:val="598F3DCB"/>
    <w:rsid w:val="59934285"/>
    <w:rsid w:val="59957788"/>
    <w:rsid w:val="599C7113"/>
    <w:rsid w:val="59BC3DC4"/>
    <w:rsid w:val="59BC7647"/>
    <w:rsid w:val="5A0148B9"/>
    <w:rsid w:val="5A21156A"/>
    <w:rsid w:val="5A226FEB"/>
    <w:rsid w:val="5A594F47"/>
    <w:rsid w:val="5A857090"/>
    <w:rsid w:val="5AB95BC3"/>
    <w:rsid w:val="5ACB7804"/>
    <w:rsid w:val="5B081868"/>
    <w:rsid w:val="5B117F79"/>
    <w:rsid w:val="5B28431B"/>
    <w:rsid w:val="5B3F200F"/>
    <w:rsid w:val="5B7D50AA"/>
    <w:rsid w:val="5B952750"/>
    <w:rsid w:val="5BB31D00"/>
    <w:rsid w:val="5BD60FBC"/>
    <w:rsid w:val="5BE76CD7"/>
    <w:rsid w:val="5BEA7C5C"/>
    <w:rsid w:val="5C1A6550"/>
    <w:rsid w:val="5C1B4BA8"/>
    <w:rsid w:val="5C2E7D3B"/>
    <w:rsid w:val="5C335AD2"/>
    <w:rsid w:val="5C366A56"/>
    <w:rsid w:val="5C4D48E8"/>
    <w:rsid w:val="5CB35126"/>
    <w:rsid w:val="5CB673FE"/>
    <w:rsid w:val="5CBE34B8"/>
    <w:rsid w:val="5D153EC6"/>
    <w:rsid w:val="5D2850E5"/>
    <w:rsid w:val="5D441192"/>
    <w:rsid w:val="5D545BA9"/>
    <w:rsid w:val="5D60523F"/>
    <w:rsid w:val="5D751961"/>
    <w:rsid w:val="5DA73435"/>
    <w:rsid w:val="5DB5274B"/>
    <w:rsid w:val="5DB623CB"/>
    <w:rsid w:val="5DCC2370"/>
    <w:rsid w:val="5DE55498"/>
    <w:rsid w:val="5E04700C"/>
    <w:rsid w:val="5E097C56"/>
    <w:rsid w:val="5E302094"/>
    <w:rsid w:val="5E3B5EA7"/>
    <w:rsid w:val="5E45203A"/>
    <w:rsid w:val="5E716381"/>
    <w:rsid w:val="5E736001"/>
    <w:rsid w:val="5EBF067F"/>
    <w:rsid w:val="5EBF6480"/>
    <w:rsid w:val="5ECB7D14"/>
    <w:rsid w:val="5F0720F8"/>
    <w:rsid w:val="5F0A527B"/>
    <w:rsid w:val="5F164911"/>
    <w:rsid w:val="5F1B5515"/>
    <w:rsid w:val="5F2538A6"/>
    <w:rsid w:val="5F8416C1"/>
    <w:rsid w:val="5FB2478F"/>
    <w:rsid w:val="5FCC5339"/>
    <w:rsid w:val="5FE274DC"/>
    <w:rsid w:val="5FE33B7B"/>
    <w:rsid w:val="5FFB5E88"/>
    <w:rsid w:val="6035241F"/>
    <w:rsid w:val="603B6C71"/>
    <w:rsid w:val="60467201"/>
    <w:rsid w:val="60546516"/>
    <w:rsid w:val="605E0C2A"/>
    <w:rsid w:val="60680A3A"/>
    <w:rsid w:val="6072134A"/>
    <w:rsid w:val="60730FCA"/>
    <w:rsid w:val="60B35636"/>
    <w:rsid w:val="60BD26C3"/>
    <w:rsid w:val="60C53352"/>
    <w:rsid w:val="60F01C18"/>
    <w:rsid w:val="60FE69AF"/>
    <w:rsid w:val="611046CB"/>
    <w:rsid w:val="61466DA4"/>
    <w:rsid w:val="61785739"/>
    <w:rsid w:val="61AE54CE"/>
    <w:rsid w:val="61B82382"/>
    <w:rsid w:val="61C763F8"/>
    <w:rsid w:val="61CE5D83"/>
    <w:rsid w:val="61DD3E1F"/>
    <w:rsid w:val="61FC0E51"/>
    <w:rsid w:val="620329DA"/>
    <w:rsid w:val="622A069B"/>
    <w:rsid w:val="6278621C"/>
    <w:rsid w:val="62BE310D"/>
    <w:rsid w:val="62C01E93"/>
    <w:rsid w:val="62C21B13"/>
    <w:rsid w:val="63064B86"/>
    <w:rsid w:val="6318012F"/>
    <w:rsid w:val="63602910"/>
    <w:rsid w:val="637C2BFB"/>
    <w:rsid w:val="637E354B"/>
    <w:rsid w:val="639C27A7"/>
    <w:rsid w:val="639D4BE4"/>
    <w:rsid w:val="63AD4F94"/>
    <w:rsid w:val="63BB7B2D"/>
    <w:rsid w:val="63CA2346"/>
    <w:rsid w:val="63CD32CA"/>
    <w:rsid w:val="63F4318A"/>
    <w:rsid w:val="6430556D"/>
    <w:rsid w:val="64320A70"/>
    <w:rsid w:val="64535B97"/>
    <w:rsid w:val="64654742"/>
    <w:rsid w:val="646E2E54"/>
    <w:rsid w:val="64760C38"/>
    <w:rsid w:val="647B68E6"/>
    <w:rsid w:val="648107EF"/>
    <w:rsid w:val="64B66ACB"/>
    <w:rsid w:val="650520CD"/>
    <w:rsid w:val="65171FE8"/>
    <w:rsid w:val="652B3207"/>
    <w:rsid w:val="656D50A8"/>
    <w:rsid w:val="65A166C8"/>
    <w:rsid w:val="65D05019"/>
    <w:rsid w:val="65D66F23"/>
    <w:rsid w:val="65E174B2"/>
    <w:rsid w:val="663C4348"/>
    <w:rsid w:val="664C23E4"/>
    <w:rsid w:val="66570776"/>
    <w:rsid w:val="665C6DFC"/>
    <w:rsid w:val="66605802"/>
    <w:rsid w:val="667D2BB4"/>
    <w:rsid w:val="667E7D97"/>
    <w:rsid w:val="667F2833"/>
    <w:rsid w:val="66911854"/>
    <w:rsid w:val="66E02E1B"/>
    <w:rsid w:val="66EB74C6"/>
    <w:rsid w:val="66F0766F"/>
    <w:rsid w:val="66FF1E88"/>
    <w:rsid w:val="67090219"/>
    <w:rsid w:val="670D6C1F"/>
    <w:rsid w:val="6731395C"/>
    <w:rsid w:val="67364560"/>
    <w:rsid w:val="67554E15"/>
    <w:rsid w:val="676254A4"/>
    <w:rsid w:val="676F1242"/>
    <w:rsid w:val="67706CC4"/>
    <w:rsid w:val="67710EC2"/>
    <w:rsid w:val="679E650E"/>
    <w:rsid w:val="67AD0D27"/>
    <w:rsid w:val="67B2192C"/>
    <w:rsid w:val="67C044C4"/>
    <w:rsid w:val="67DD4823"/>
    <w:rsid w:val="67F07212"/>
    <w:rsid w:val="680C4DB4"/>
    <w:rsid w:val="6814614D"/>
    <w:rsid w:val="68320F80"/>
    <w:rsid w:val="68A94442"/>
    <w:rsid w:val="68B0184E"/>
    <w:rsid w:val="68C462F1"/>
    <w:rsid w:val="68E56825"/>
    <w:rsid w:val="68FE2FAA"/>
    <w:rsid w:val="69056D5A"/>
    <w:rsid w:val="69811F27"/>
    <w:rsid w:val="69927C43"/>
    <w:rsid w:val="69A3561F"/>
    <w:rsid w:val="69EB68C7"/>
    <w:rsid w:val="69FC5FED"/>
    <w:rsid w:val="6A3A1355"/>
    <w:rsid w:val="6A3D42E7"/>
    <w:rsid w:val="6A472BE9"/>
    <w:rsid w:val="6A547D01"/>
    <w:rsid w:val="6AB4102B"/>
    <w:rsid w:val="6AB60C9F"/>
    <w:rsid w:val="6ACE1BC9"/>
    <w:rsid w:val="6AD205CF"/>
    <w:rsid w:val="6ADA7BDA"/>
    <w:rsid w:val="6ADB6F8D"/>
    <w:rsid w:val="6B177A3F"/>
    <w:rsid w:val="6B1A09C3"/>
    <w:rsid w:val="6B1E73CA"/>
    <w:rsid w:val="6B373DEE"/>
    <w:rsid w:val="6B6320BC"/>
    <w:rsid w:val="6B845E74"/>
    <w:rsid w:val="6BA51E03"/>
    <w:rsid w:val="6BAA2831"/>
    <w:rsid w:val="6BB40BC2"/>
    <w:rsid w:val="6BBB054D"/>
    <w:rsid w:val="6BEE421F"/>
    <w:rsid w:val="6C122F13"/>
    <w:rsid w:val="6C7B5108"/>
    <w:rsid w:val="6C9E65C1"/>
    <w:rsid w:val="6CCA2908"/>
    <w:rsid w:val="6CF2604B"/>
    <w:rsid w:val="6CF33CAA"/>
    <w:rsid w:val="6D0F33FD"/>
    <w:rsid w:val="6D11307D"/>
    <w:rsid w:val="6D1F7E14"/>
    <w:rsid w:val="6D275220"/>
    <w:rsid w:val="6D2D6AB9"/>
    <w:rsid w:val="6D394241"/>
    <w:rsid w:val="6D7F36B1"/>
    <w:rsid w:val="6D8B4F45"/>
    <w:rsid w:val="6D97625A"/>
    <w:rsid w:val="6D997ADE"/>
    <w:rsid w:val="6DA438F0"/>
    <w:rsid w:val="6DB7708E"/>
    <w:rsid w:val="6DB9657F"/>
    <w:rsid w:val="6DC960AE"/>
    <w:rsid w:val="6DD808C7"/>
    <w:rsid w:val="6DE25953"/>
    <w:rsid w:val="6DE90B62"/>
    <w:rsid w:val="6E154EA9"/>
    <w:rsid w:val="6E4111F0"/>
    <w:rsid w:val="6E6A23B4"/>
    <w:rsid w:val="6E7042BE"/>
    <w:rsid w:val="6E9468B5"/>
    <w:rsid w:val="6E9C3E88"/>
    <w:rsid w:val="6EE132F8"/>
    <w:rsid w:val="6EF0008F"/>
    <w:rsid w:val="6EF51F98"/>
    <w:rsid w:val="6F123AC7"/>
    <w:rsid w:val="6F524050"/>
    <w:rsid w:val="6F674856"/>
    <w:rsid w:val="6F79782E"/>
    <w:rsid w:val="6FA25934"/>
    <w:rsid w:val="6FD54E8A"/>
    <w:rsid w:val="70352925"/>
    <w:rsid w:val="703561A8"/>
    <w:rsid w:val="7057415E"/>
    <w:rsid w:val="70666977"/>
    <w:rsid w:val="70974F48"/>
    <w:rsid w:val="70B544F8"/>
    <w:rsid w:val="70D30D13"/>
    <w:rsid w:val="70FA71EB"/>
    <w:rsid w:val="70FE7DEF"/>
    <w:rsid w:val="710F0089"/>
    <w:rsid w:val="712E093E"/>
    <w:rsid w:val="714275DF"/>
    <w:rsid w:val="718B55F7"/>
    <w:rsid w:val="71C1592F"/>
    <w:rsid w:val="71D25D8C"/>
    <w:rsid w:val="71DF0762"/>
    <w:rsid w:val="72002E95"/>
    <w:rsid w:val="721C4D44"/>
    <w:rsid w:val="72501D1B"/>
    <w:rsid w:val="72540721"/>
    <w:rsid w:val="727A2B5F"/>
    <w:rsid w:val="72972D5B"/>
    <w:rsid w:val="729C0B15"/>
    <w:rsid w:val="72B2653C"/>
    <w:rsid w:val="72C07A50"/>
    <w:rsid w:val="72C708F5"/>
    <w:rsid w:val="72D77675"/>
    <w:rsid w:val="72EC1B99"/>
    <w:rsid w:val="73096F4B"/>
    <w:rsid w:val="731B26E8"/>
    <w:rsid w:val="736F2172"/>
    <w:rsid w:val="738D3920"/>
    <w:rsid w:val="73B01AE0"/>
    <w:rsid w:val="73C450A4"/>
    <w:rsid w:val="73EF3FAC"/>
    <w:rsid w:val="74152CCB"/>
    <w:rsid w:val="74370333"/>
    <w:rsid w:val="743F3744"/>
    <w:rsid w:val="7458686C"/>
    <w:rsid w:val="74674908"/>
    <w:rsid w:val="7499095B"/>
    <w:rsid w:val="74A40EAA"/>
    <w:rsid w:val="74A67C70"/>
    <w:rsid w:val="74AF70D9"/>
    <w:rsid w:val="74C35F1C"/>
    <w:rsid w:val="74CE7B30"/>
    <w:rsid w:val="74EB59B8"/>
    <w:rsid w:val="7510189E"/>
    <w:rsid w:val="7512151E"/>
    <w:rsid w:val="752217B8"/>
    <w:rsid w:val="7522503C"/>
    <w:rsid w:val="753A6E5F"/>
    <w:rsid w:val="75400D68"/>
    <w:rsid w:val="75504886"/>
    <w:rsid w:val="755C0699"/>
    <w:rsid w:val="75B93A72"/>
    <w:rsid w:val="75C03C40"/>
    <w:rsid w:val="75D812E7"/>
    <w:rsid w:val="75DB69E8"/>
    <w:rsid w:val="75E37678"/>
    <w:rsid w:val="75F57592"/>
    <w:rsid w:val="7605012D"/>
    <w:rsid w:val="762B7A6C"/>
    <w:rsid w:val="76401F90"/>
    <w:rsid w:val="76564426"/>
    <w:rsid w:val="76581835"/>
    <w:rsid w:val="765B27BA"/>
    <w:rsid w:val="767F74F6"/>
    <w:rsid w:val="769A13A5"/>
    <w:rsid w:val="76A96107"/>
    <w:rsid w:val="76C23463"/>
    <w:rsid w:val="7715546B"/>
    <w:rsid w:val="771F5D7B"/>
    <w:rsid w:val="773764FA"/>
    <w:rsid w:val="77690779"/>
    <w:rsid w:val="77966CBE"/>
    <w:rsid w:val="77DA1D31"/>
    <w:rsid w:val="77E9454A"/>
    <w:rsid w:val="77F03ED5"/>
    <w:rsid w:val="781A7705"/>
    <w:rsid w:val="78582600"/>
    <w:rsid w:val="78622F0F"/>
    <w:rsid w:val="7868289A"/>
    <w:rsid w:val="787E4A3E"/>
    <w:rsid w:val="788C3D53"/>
    <w:rsid w:val="78952465"/>
    <w:rsid w:val="78A029F4"/>
    <w:rsid w:val="78CC6D3B"/>
    <w:rsid w:val="78DF5D5C"/>
    <w:rsid w:val="78FA7C0B"/>
    <w:rsid w:val="793B3143"/>
    <w:rsid w:val="796108B4"/>
    <w:rsid w:val="79707849"/>
    <w:rsid w:val="79C96FDE"/>
    <w:rsid w:val="79E9620E"/>
    <w:rsid w:val="7A284DF9"/>
    <w:rsid w:val="7A2B3800"/>
    <w:rsid w:val="7A40469E"/>
    <w:rsid w:val="7A421A85"/>
    <w:rsid w:val="7A472BA5"/>
    <w:rsid w:val="7A5223BA"/>
    <w:rsid w:val="7A5358BD"/>
    <w:rsid w:val="7A687DE1"/>
    <w:rsid w:val="7A795AFD"/>
    <w:rsid w:val="7A88522B"/>
    <w:rsid w:val="7A8D418E"/>
    <w:rsid w:val="7A9C1535"/>
    <w:rsid w:val="7AB14F4C"/>
    <w:rsid w:val="7ABD74EB"/>
    <w:rsid w:val="7ACF67AF"/>
    <w:rsid w:val="7AF745FF"/>
    <w:rsid w:val="7B704D90"/>
    <w:rsid w:val="7B9207C8"/>
    <w:rsid w:val="7B962A52"/>
    <w:rsid w:val="7B9C495B"/>
    <w:rsid w:val="7BB34580"/>
    <w:rsid w:val="7C276ABD"/>
    <w:rsid w:val="7C6516D2"/>
    <w:rsid w:val="7CB55428"/>
    <w:rsid w:val="7CB62EA9"/>
    <w:rsid w:val="7CEF7382"/>
    <w:rsid w:val="7CFE329D"/>
    <w:rsid w:val="7CFE6B21"/>
    <w:rsid w:val="7D017AA5"/>
    <w:rsid w:val="7D0719AF"/>
    <w:rsid w:val="7D133243"/>
    <w:rsid w:val="7D152EC3"/>
    <w:rsid w:val="7D1B284D"/>
    <w:rsid w:val="7D3768FA"/>
    <w:rsid w:val="7D5671AF"/>
    <w:rsid w:val="7D607ABF"/>
    <w:rsid w:val="7D6F401F"/>
    <w:rsid w:val="7D772F67"/>
    <w:rsid w:val="7D921593"/>
    <w:rsid w:val="7DAA36DD"/>
    <w:rsid w:val="7DD6409E"/>
    <w:rsid w:val="7DDC070D"/>
    <w:rsid w:val="7DE11312"/>
    <w:rsid w:val="7DE30098"/>
    <w:rsid w:val="7E0405CD"/>
    <w:rsid w:val="7E1A2770"/>
    <w:rsid w:val="7E3A5223"/>
    <w:rsid w:val="7E46233B"/>
    <w:rsid w:val="7E5F1BE0"/>
    <w:rsid w:val="7E6418EB"/>
    <w:rsid w:val="7E78058B"/>
    <w:rsid w:val="7E9E07CB"/>
    <w:rsid w:val="7EA2525B"/>
    <w:rsid w:val="7EB40C0B"/>
    <w:rsid w:val="7EBD1C74"/>
    <w:rsid w:val="7ECF0F9A"/>
    <w:rsid w:val="7F063673"/>
    <w:rsid w:val="7F1D6B1B"/>
    <w:rsid w:val="7F250E39"/>
    <w:rsid w:val="7F330CBF"/>
    <w:rsid w:val="7F4B6365"/>
    <w:rsid w:val="7F6C211D"/>
    <w:rsid w:val="7F9035D7"/>
    <w:rsid w:val="7FE120DC"/>
    <w:rsid w:val="7FF554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 w:type="paragraph" w:styleId="8">
    <w:name w:val="List Paragraph"/>
    <w:basedOn w:val="1"/>
    <w:unhideWhenUsed/>
    <w:qFormat/>
    <w:uiPriority w:val="99"/>
    <w:pPr>
      <w:ind w:firstLine="420" w:firstLineChars="200"/>
    </w:pPr>
  </w:style>
  <w:style w:type="character" w:customStyle="1" w:styleId="9">
    <w:name w:val="页眉 字符"/>
    <w:basedOn w:val="6"/>
    <w:link w:val="3"/>
    <w:qFormat/>
    <w:uiPriority w:val="0"/>
    <w:rPr>
      <w:kern w:val="2"/>
      <w:sz w:val="18"/>
      <w:szCs w:val="18"/>
    </w:rPr>
  </w:style>
  <w:style w:type="character" w:customStyle="1" w:styleId="10">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1432</Words>
  <Characters>7580</Characters>
  <Lines>172</Lines>
  <Paragraphs>128</Paragraphs>
  <TotalTime>0</TotalTime>
  <ScaleCrop>false</ScaleCrop>
  <LinksUpToDate>false</LinksUpToDate>
  <CharactersWithSpaces>8999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2026-06-01T03:31:00Z</dcterms:created>
  <dc:creator>sharpal</dc:creator>
  <cp:lastModifiedBy>WPS_1492138145</cp:lastModifiedBy>
  <cp:lastPrinted>2026-03-30T05:25:00Z</cp:lastPrinted>
  <dcterms:modified xsi:type="dcterms:W3CDTF">2026-06-05T06:59:05Z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3967BAA34D064A4F892F588EF4CB4F2E_13</vt:lpwstr>
  </property>
  <property fmtid="{D5CDD505-2E9C-101B-9397-08002B2CF9AE}" pid="4" name="GrammarlyDocumentId">
    <vt:lpwstr>68c1731d-0e74-4abd-acc2-8db4efae6d3e</vt:lpwstr>
  </property>
  <property fmtid="{D5CDD505-2E9C-101B-9397-08002B2CF9AE}" pid="5" name="KSOTemplateDocerSaveRecord">
    <vt:lpwstr>eyJoZGlkIjoiOWMzYTBiMmQ5Nzk5ZDMxZmJlMWM1ZDZlMThiMThmOGEiLCJ1c2VySWQiOiIyNzQ3NDY2NTQifQ==</vt:lpwstr>
  </property>
</Properties>
</file>