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A52F1">
      <w:pPr>
        <w:spacing w:after="40"/>
        <w:rPr>
          <w:rFonts w:hint="default" w:asciiTheme="majorAscii" w:hAnsiTheme="majorAscii"/>
          <w:sz w:val="22"/>
          <w:szCs w:val="22"/>
        </w:rPr>
      </w:pPr>
      <w:r>
        <w:rPr>
          <w:rFonts w:hint="default" w:asciiTheme="majorAscii" w:hAnsiTheme="majorAscii"/>
          <w:b/>
          <w:sz w:val="22"/>
          <w:szCs w:val="22"/>
        </w:rPr>
        <w:t>IT</w:t>
      </w:r>
      <w:r>
        <w:rPr>
          <w:rFonts w:hint="default" w:asciiTheme="majorAscii" w:hAnsiTheme="majorAscii"/>
          <w:sz w:val="22"/>
          <w:szCs w:val="22"/>
        </w:rPr>
        <w:tab/>
      </w:r>
      <w:r>
        <w:rPr>
          <w:rFonts w:hint="default" w:asciiTheme="majorAscii" w:hAnsiTheme="majorAscii"/>
          <w:sz w:val="22"/>
          <w:szCs w:val="22"/>
        </w:rPr>
        <w:tab/>
      </w:r>
      <w:r>
        <w:rPr>
          <w:rFonts w:hint="default" w:asciiTheme="majorAscii" w:hAnsiTheme="majorAscii"/>
          <w:sz w:val="22"/>
          <w:szCs w:val="22"/>
        </w:rPr>
        <w:tab/>
      </w:r>
      <w:r>
        <w:rPr>
          <w:rFonts w:hint="default" w:asciiTheme="majorAscii" w:hAnsiTheme="majorAscii"/>
          <w:sz w:val="22"/>
          <w:szCs w:val="22"/>
        </w:rPr>
        <w:tab/>
      </w:r>
      <w:r>
        <w:rPr>
          <w:rFonts w:hint="default" w:asciiTheme="majorAscii" w:hAnsiTheme="majorAscii"/>
          <w:sz w:val="22"/>
          <w:szCs w:val="22"/>
        </w:rPr>
        <w:tab/>
      </w:r>
      <w:r>
        <w:rPr>
          <w:rFonts w:hint="default" w:asciiTheme="majorAscii" w:hAnsiTheme="majorAscii"/>
          <w:sz w:val="22"/>
          <w:szCs w:val="22"/>
        </w:rPr>
        <w:tab/>
      </w:r>
      <w:r>
        <w:rPr>
          <w:rFonts w:hint="default" w:asciiTheme="majorAscii" w:hAnsiTheme="majorAscii"/>
          <w:sz w:val="22"/>
          <w:szCs w:val="22"/>
        </w:rPr>
        <w:tab/>
      </w:r>
      <w:r>
        <w:rPr>
          <w:rFonts w:hint="default" w:asciiTheme="majorAscii" w:hAnsiTheme="majorAscii"/>
          <w:sz w:val="22"/>
          <w:szCs w:val="22"/>
        </w:rPr>
        <w:tab/>
      </w:r>
      <w:r>
        <w:rPr>
          <w:rFonts w:hint="default" w:eastAsia="宋体" w:asciiTheme="majorAscii" w:hAnsiTheme="majorAscii"/>
          <w:sz w:val="22"/>
          <w:szCs w:val="22"/>
          <w:lang w:val="en-US" w:eastAsia="zh-CN"/>
        </w:rPr>
        <w:t xml:space="preserve">                                                                        </w:t>
      </w:r>
      <w:r>
        <w:rPr>
          <w:rFonts w:hint="default" w:asciiTheme="majorAscii" w:hAnsiTheme="majorAscii"/>
          <w:sz w:val="22"/>
          <w:szCs w:val="22"/>
        </w:rPr>
        <w:t>Articolo n. 195H</w:t>
      </w:r>
    </w:p>
    <w:p w14:paraId="04DCA765">
      <w:pPr>
        <w:spacing w:after="120"/>
        <w:jc w:val="center"/>
        <w:rPr>
          <w:rFonts w:hint="default" w:asciiTheme="majorAscii" w:hAnsiTheme="majorAscii"/>
          <w:sz w:val="22"/>
          <w:szCs w:val="22"/>
        </w:rPr>
      </w:pPr>
      <w:r>
        <w:rPr>
          <w:rFonts w:hint="default" w:asciiTheme="majorAscii" w:hAnsiTheme="majorAscii"/>
          <w:b/>
          <w:sz w:val="22"/>
          <w:szCs w:val="22"/>
        </w:rPr>
        <w:t>Manuale utente</w:t>
      </w:r>
    </w:p>
    <w:p w14:paraId="4543506D">
      <w:pPr>
        <w:spacing w:before="120" w:after="80"/>
        <w:rPr>
          <w:rFonts w:hint="default" w:asciiTheme="majorAscii" w:hAnsiTheme="majorAscii"/>
          <w:sz w:val="22"/>
          <w:szCs w:val="22"/>
        </w:rPr>
      </w:pPr>
      <w:r>
        <w:rPr>
          <w:rFonts w:hint="default" w:asciiTheme="majorAscii" w:hAnsiTheme="majorAscii"/>
          <w:b/>
          <w:sz w:val="22"/>
          <w:szCs w:val="22"/>
        </w:rPr>
        <w:t>⚠ AVVERTENZA</w:t>
      </w:r>
    </w:p>
    <w:p w14:paraId="4428BFBB">
      <w:pPr>
        <w:spacing w:after="26"/>
        <w:rPr>
          <w:rFonts w:hint="default" w:asciiTheme="majorAscii" w:hAnsiTheme="majorAscii"/>
          <w:sz w:val="22"/>
          <w:szCs w:val="22"/>
        </w:rPr>
      </w:pPr>
      <w:r>
        <w:rPr>
          <w:rFonts w:hint="default" w:asciiTheme="majorAscii" w:hAnsiTheme="majorAscii"/>
          <w:b w:val="0"/>
          <w:sz w:val="22"/>
          <w:szCs w:val="22"/>
        </w:rPr>
        <w:t>• Tipo di batteria: CR2450</w:t>
      </w:r>
    </w:p>
    <w:p w14:paraId="6DA520E7">
      <w:pPr>
        <w:spacing w:after="26"/>
        <w:rPr>
          <w:rFonts w:hint="default" w:asciiTheme="majorAscii" w:hAnsiTheme="majorAscii"/>
          <w:sz w:val="22"/>
          <w:szCs w:val="22"/>
        </w:rPr>
      </w:pPr>
      <w:r>
        <w:rPr>
          <w:rFonts w:hint="default" w:asciiTheme="majorAscii" w:hAnsiTheme="majorAscii"/>
          <w:b w:val="0"/>
          <w:sz w:val="22"/>
          <w:szCs w:val="22"/>
        </w:rPr>
        <w:t>• Tensione nominale: 3V</w:t>
      </w:r>
    </w:p>
    <w:p w14:paraId="4C1B3339">
      <w:pPr>
        <w:spacing w:after="26"/>
        <w:rPr>
          <w:rFonts w:hint="default" w:asciiTheme="majorAscii" w:hAnsiTheme="majorAscii"/>
          <w:sz w:val="22"/>
          <w:szCs w:val="22"/>
        </w:rPr>
      </w:pPr>
      <w:r>
        <w:rPr>
          <w:rFonts w:hint="default" w:asciiTheme="majorAscii" w:hAnsiTheme="majorAscii"/>
          <w:b w:val="0"/>
          <w:sz w:val="22"/>
          <w:szCs w:val="22"/>
        </w:rPr>
        <w:t xml:space="preserve">• </w:t>
      </w:r>
      <w:r>
        <w:rPr>
          <w:rFonts w:hint="default" w:asciiTheme="majorAscii" w:hAnsiTheme="majorAscii"/>
          <w:b/>
          <w:sz w:val="22"/>
          <w:szCs w:val="22"/>
        </w:rPr>
        <w:t>PERICOLO DI INGESTIONE:</w:t>
      </w:r>
      <w:r>
        <w:rPr>
          <w:rFonts w:hint="default" w:asciiTheme="majorAscii" w:hAnsiTheme="majorAscii"/>
          <w:b w:val="0"/>
          <w:sz w:val="22"/>
          <w:szCs w:val="22"/>
        </w:rPr>
        <w:t xml:space="preserve"> Questo prodotto contiene una pila a bottone o una batteria a bottone.</w:t>
      </w:r>
    </w:p>
    <w:p w14:paraId="20291B9D">
      <w:pPr>
        <w:spacing w:after="26"/>
        <w:rPr>
          <w:rFonts w:hint="default" w:asciiTheme="majorAscii" w:hAnsiTheme="majorAscii"/>
          <w:sz w:val="22"/>
          <w:szCs w:val="22"/>
        </w:rPr>
      </w:pPr>
      <w:r>
        <w:rPr>
          <w:rFonts w:hint="default" w:asciiTheme="majorAscii" w:hAnsiTheme="majorAscii"/>
          <w:b w:val="0"/>
          <w:sz w:val="22"/>
          <w:szCs w:val="22"/>
        </w:rPr>
        <w:t xml:space="preserve">• </w:t>
      </w:r>
      <w:r>
        <w:rPr>
          <w:rFonts w:hint="default" w:asciiTheme="majorAscii" w:hAnsiTheme="majorAscii"/>
          <w:b/>
          <w:sz w:val="22"/>
          <w:szCs w:val="22"/>
        </w:rPr>
        <w:t>MORTE</w:t>
      </w:r>
      <w:r>
        <w:rPr>
          <w:rFonts w:hint="default" w:asciiTheme="majorAscii" w:hAnsiTheme="majorAscii"/>
          <w:b w:val="0"/>
          <w:sz w:val="22"/>
          <w:szCs w:val="22"/>
        </w:rPr>
        <w:t xml:space="preserve"> o gravi lesioni possono verificarsi in caso di ingestione.</w:t>
      </w:r>
    </w:p>
    <w:p w14:paraId="3F2C411D">
      <w:pPr>
        <w:spacing w:after="26"/>
        <w:rPr>
          <w:rFonts w:hint="default" w:asciiTheme="majorAscii" w:hAnsiTheme="majorAscii"/>
          <w:sz w:val="22"/>
          <w:szCs w:val="22"/>
        </w:rPr>
      </w:pPr>
      <w:r>
        <w:rPr>
          <w:rFonts w:hint="default" w:asciiTheme="majorAscii" w:hAnsiTheme="majorAscii"/>
          <w:b w:val="0"/>
          <w:sz w:val="22"/>
          <w:szCs w:val="22"/>
        </w:rPr>
        <w:t xml:space="preserve">• Una pila a bottone o una batteria a bottone ingerita può causare </w:t>
      </w:r>
      <w:r>
        <w:rPr>
          <w:rFonts w:hint="default" w:asciiTheme="majorAscii" w:hAnsiTheme="majorAscii"/>
          <w:b/>
          <w:sz w:val="22"/>
          <w:szCs w:val="22"/>
        </w:rPr>
        <w:t>ustioni chimiche interne</w:t>
      </w:r>
      <w:r>
        <w:rPr>
          <w:rFonts w:hint="default" w:asciiTheme="majorAscii" w:hAnsiTheme="majorAscii"/>
          <w:b w:val="0"/>
          <w:sz w:val="22"/>
          <w:szCs w:val="22"/>
        </w:rPr>
        <w:t xml:space="preserve"> in sole </w:t>
      </w:r>
      <w:r>
        <w:rPr>
          <w:rFonts w:hint="default" w:asciiTheme="majorAscii" w:hAnsiTheme="majorAscii"/>
          <w:b/>
          <w:sz w:val="22"/>
          <w:szCs w:val="22"/>
        </w:rPr>
        <w:t>2 ore</w:t>
      </w:r>
      <w:r>
        <w:rPr>
          <w:rFonts w:hint="default" w:asciiTheme="majorAscii" w:hAnsiTheme="majorAscii"/>
          <w:b w:val="0"/>
          <w:sz w:val="22"/>
          <w:szCs w:val="22"/>
        </w:rPr>
        <w:t>.</w:t>
      </w:r>
    </w:p>
    <w:p w14:paraId="02DF8476">
      <w:pPr>
        <w:spacing w:after="26"/>
        <w:rPr>
          <w:rFonts w:hint="default" w:asciiTheme="majorAscii" w:hAnsiTheme="majorAscii"/>
          <w:sz w:val="22"/>
          <w:szCs w:val="22"/>
        </w:rPr>
      </w:pPr>
      <w:r>
        <w:rPr>
          <w:rFonts w:hint="default" w:asciiTheme="majorAscii" w:hAnsiTheme="majorAscii"/>
          <w:b w:val="0"/>
          <w:sz w:val="22"/>
          <w:szCs w:val="22"/>
        </w:rPr>
        <w:t xml:space="preserve">• </w:t>
      </w:r>
      <w:r>
        <w:rPr>
          <w:rFonts w:hint="default" w:asciiTheme="majorAscii" w:hAnsiTheme="majorAscii"/>
          <w:b/>
          <w:sz w:val="22"/>
          <w:szCs w:val="22"/>
        </w:rPr>
        <w:t>TENERE</w:t>
      </w:r>
      <w:r>
        <w:rPr>
          <w:rFonts w:hint="default" w:asciiTheme="majorAscii" w:hAnsiTheme="majorAscii"/>
          <w:b w:val="0"/>
          <w:sz w:val="22"/>
          <w:szCs w:val="22"/>
        </w:rPr>
        <w:t xml:space="preserve"> le batterie nuove e usate </w:t>
      </w:r>
      <w:r>
        <w:rPr>
          <w:rFonts w:hint="default" w:asciiTheme="majorAscii" w:hAnsiTheme="majorAscii"/>
          <w:b/>
          <w:sz w:val="22"/>
          <w:szCs w:val="22"/>
        </w:rPr>
        <w:t>FUORI DALLA PORTATA DEI BAMBINI.</w:t>
      </w:r>
    </w:p>
    <w:p w14:paraId="74B1974A">
      <w:pPr>
        <w:spacing w:after="26"/>
        <w:rPr>
          <w:rFonts w:hint="default" w:asciiTheme="majorAscii" w:hAnsiTheme="majorAscii"/>
          <w:sz w:val="22"/>
          <w:szCs w:val="22"/>
        </w:rPr>
      </w:pPr>
      <w:r>
        <w:rPr>
          <w:rFonts w:hint="default" w:asciiTheme="majorAscii" w:hAnsiTheme="majorAscii"/>
          <w:b w:val="0"/>
          <w:sz w:val="22"/>
          <w:szCs w:val="22"/>
        </w:rPr>
        <w:t xml:space="preserve">• </w:t>
      </w:r>
      <w:r>
        <w:rPr>
          <w:rFonts w:hint="default" w:asciiTheme="majorAscii" w:hAnsiTheme="majorAscii"/>
          <w:b/>
          <w:sz w:val="22"/>
          <w:szCs w:val="22"/>
        </w:rPr>
        <w:t>Rivolgersi immediatamente a un medico</w:t>
      </w:r>
      <w:r>
        <w:rPr>
          <w:rFonts w:hint="default" w:asciiTheme="majorAscii" w:hAnsiTheme="majorAscii"/>
          <w:b w:val="0"/>
          <w:sz w:val="22"/>
          <w:szCs w:val="22"/>
        </w:rPr>
        <w:t xml:space="preserve"> se si sospetta che una batteria sia stata ingerita o inserita in qualsiasi parte del corpo.</w:t>
      </w:r>
    </w:p>
    <w:p w14:paraId="5C4D037B">
      <w:pPr>
        <w:spacing w:after="16"/>
        <w:rPr>
          <w:rFonts w:hint="default" w:asciiTheme="majorAscii" w:hAnsiTheme="majorAscii"/>
          <w:sz w:val="22"/>
          <w:szCs w:val="22"/>
        </w:rPr>
      </w:pPr>
      <w:r>
        <w:rPr>
          <w:rFonts w:hint="default" w:asciiTheme="majorAscii" w:hAnsiTheme="majorAscii"/>
          <w:sz w:val="22"/>
          <w:szCs w:val="22"/>
        </w:rPr>
        <w:t>a) Rimuovere immediatamente le batterie usate e riciclarle o smaltirle secondo le normative locali</w:t>
      </w:r>
      <w:r>
        <w:rPr>
          <w:rFonts w:hint="eastAsia" w:eastAsia="宋体" w:asciiTheme="majorAscii" w:hAnsiTheme="majorAscii"/>
          <w:sz w:val="22"/>
          <w:szCs w:val="22"/>
          <w:lang w:val="en-US" w:eastAsia="zh-CN"/>
        </w:rPr>
        <w:t xml:space="preserve"> t</w:t>
      </w:r>
      <w:r>
        <w:rPr>
          <w:rFonts w:hint="default" w:asciiTheme="majorAscii" w:hAnsiTheme="majorAscii"/>
          <w:sz w:val="22"/>
          <w:szCs w:val="22"/>
        </w:rPr>
        <w:t>enerle lontano dai bambini. NON smaltire le batterie nei rifiuti domestici né incenerirle.</w:t>
      </w:r>
    </w:p>
    <w:p w14:paraId="55655005">
      <w:pPr>
        <w:spacing w:after="16"/>
        <w:rPr>
          <w:rFonts w:hint="default" w:asciiTheme="majorAscii" w:hAnsiTheme="majorAscii"/>
          <w:sz w:val="22"/>
          <w:szCs w:val="22"/>
        </w:rPr>
      </w:pPr>
      <w:r>
        <w:rPr>
          <w:rFonts w:hint="default" w:asciiTheme="majorAscii" w:hAnsiTheme="majorAscii"/>
          <w:sz w:val="22"/>
          <w:szCs w:val="22"/>
        </w:rPr>
        <w:t>b) Anche le batterie usate possono causare gravi lesioni o la morte.</w:t>
      </w:r>
    </w:p>
    <w:p w14:paraId="0F849593">
      <w:pPr>
        <w:spacing w:after="16"/>
        <w:rPr>
          <w:rFonts w:hint="default" w:asciiTheme="majorAscii" w:hAnsiTheme="majorAscii"/>
          <w:sz w:val="22"/>
          <w:szCs w:val="22"/>
        </w:rPr>
      </w:pPr>
      <w:r>
        <w:rPr>
          <w:rFonts w:hint="default" w:asciiTheme="majorAscii" w:hAnsiTheme="majorAscii"/>
          <w:sz w:val="22"/>
          <w:szCs w:val="22"/>
        </w:rPr>
        <w:t>c) Contattare un centro antiveleni locale per informazioni sul trattamento.</w:t>
      </w:r>
    </w:p>
    <w:p w14:paraId="493B8081">
      <w:pPr>
        <w:spacing w:after="16"/>
        <w:rPr>
          <w:rFonts w:hint="default" w:asciiTheme="majorAscii" w:hAnsiTheme="majorAscii"/>
          <w:sz w:val="22"/>
          <w:szCs w:val="22"/>
        </w:rPr>
      </w:pPr>
      <w:r>
        <w:rPr>
          <w:rFonts w:hint="default" w:asciiTheme="majorAscii" w:hAnsiTheme="majorAscii"/>
          <w:sz w:val="22"/>
          <w:szCs w:val="22"/>
        </w:rPr>
        <w:t>d) Le batterie non ricaricabili non devono essere ricaricate.</w:t>
      </w:r>
    </w:p>
    <w:p w14:paraId="468F23AF">
      <w:pPr>
        <w:spacing w:after="16"/>
        <w:rPr>
          <w:rFonts w:hint="default" w:asciiTheme="majorAscii" w:hAnsiTheme="majorAscii"/>
          <w:sz w:val="22"/>
          <w:szCs w:val="22"/>
        </w:rPr>
      </w:pPr>
      <w:r>
        <w:rPr>
          <w:rFonts w:hint="default" w:asciiTheme="majorAscii" w:hAnsiTheme="majorAscii"/>
          <w:sz w:val="22"/>
          <w:szCs w:val="22"/>
        </w:rPr>
        <w:t>e) Non forzare la scarica, ricaricare, smontare, riscaldare oltre la temperatura specificata dal produttore o incenerire le batterie.Ciò può causare lesioni dovute a sfiato, perdita o esplosione, con conseguenti ustioni chimiche.</w:t>
      </w:r>
    </w:p>
    <w:p w14:paraId="4EA0D740">
      <w:pPr>
        <w:spacing w:after="16"/>
        <w:rPr>
          <w:rFonts w:hint="default" w:asciiTheme="majorAscii" w:hAnsiTheme="majorAscii"/>
          <w:sz w:val="22"/>
          <w:szCs w:val="22"/>
        </w:rPr>
      </w:pPr>
      <w:r>
        <w:rPr>
          <w:rFonts w:hint="default" w:asciiTheme="majorAscii" w:hAnsiTheme="majorAscii"/>
          <w:sz w:val="22"/>
          <w:szCs w:val="22"/>
        </w:rPr>
        <w:t>f) Assicurarsi che le batterie siano installate correttamente secondo la polarità (+ e -).</w:t>
      </w:r>
    </w:p>
    <w:p w14:paraId="7EEE806F">
      <w:pPr>
        <w:spacing w:after="16"/>
        <w:rPr>
          <w:rFonts w:hint="default" w:asciiTheme="majorAscii" w:hAnsiTheme="majorAscii"/>
          <w:sz w:val="22"/>
          <w:szCs w:val="22"/>
        </w:rPr>
      </w:pPr>
      <w:r>
        <w:rPr>
          <w:rFonts w:hint="default" w:asciiTheme="majorAscii" w:hAnsiTheme="majorAscii"/>
          <w:sz w:val="22"/>
          <w:szCs w:val="22"/>
        </w:rPr>
        <w:t>g) Non mischiare batterie vecchie e nuove, né batterie di marche o tipi diversi, come batterie alcaline, zinco-carbone o ricaricabili.</w:t>
      </w:r>
    </w:p>
    <w:p w14:paraId="4E32CED5">
      <w:pPr>
        <w:spacing w:after="16"/>
        <w:rPr>
          <w:rFonts w:hint="default" w:asciiTheme="majorAscii" w:hAnsiTheme="majorAscii"/>
          <w:sz w:val="22"/>
          <w:szCs w:val="22"/>
        </w:rPr>
      </w:pPr>
      <w:r>
        <w:rPr>
          <w:rFonts w:hint="default" w:asciiTheme="majorAscii" w:hAnsiTheme="majorAscii"/>
          <w:sz w:val="22"/>
          <w:szCs w:val="22"/>
        </w:rPr>
        <w:t>h) Rimuovere immediatamente e riciclare o smaltire le batterie dalle apparecchiature che non vengono utilizzate per un periodo prolungato secondo le normative locali.</w:t>
      </w:r>
    </w:p>
    <w:p w14:paraId="43946AD8">
      <w:pPr>
        <w:spacing w:after="16"/>
        <w:rPr>
          <w:rFonts w:hint="default" w:asciiTheme="majorAscii" w:hAnsiTheme="majorAscii"/>
          <w:sz w:val="22"/>
          <w:szCs w:val="22"/>
        </w:rPr>
      </w:pPr>
      <w:r>
        <w:rPr>
          <w:rFonts w:hint="default" w:asciiTheme="majorAscii" w:hAnsiTheme="majorAscii"/>
          <w:sz w:val="22"/>
          <w:szCs w:val="22"/>
        </w:rPr>
        <w:t>i) Fissare sempre completamente il vano batteria. Se il vano batteria non si chiude in modo sicuro, interrompere l’uso del prodotto, rimuovere le batterie e tenerle lontano dai bambini.</w:t>
      </w:r>
    </w:p>
    <w:p w14:paraId="007673E8">
      <w:pPr>
        <w:spacing w:after="16"/>
        <w:rPr>
          <w:rFonts w:hint="default" w:asciiTheme="majorAscii" w:hAnsiTheme="majorAscii"/>
          <w:sz w:val="22"/>
          <w:szCs w:val="22"/>
        </w:rPr>
      </w:pPr>
    </w:p>
    <w:p w14:paraId="38F3F2D2">
      <w:pPr>
        <w:spacing w:before="120" w:after="80"/>
        <w:rPr>
          <w:rFonts w:hint="default" w:asciiTheme="majorAscii" w:hAnsiTheme="majorAscii"/>
          <w:sz w:val="22"/>
          <w:szCs w:val="22"/>
        </w:rPr>
      </w:pPr>
      <w:r>
        <w:rPr>
          <w:rFonts w:hint="default" w:asciiTheme="majorAscii" w:hAnsiTheme="majorAscii"/>
          <w:b/>
          <w:sz w:val="22"/>
          <w:szCs w:val="22"/>
        </w:rPr>
        <w:t>DATI TECNICI</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2"/>
        <w:gridCol w:w="5472"/>
      </w:tblGrid>
      <w:tr w14:paraId="48A9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55D2A9A7">
            <w:pPr>
              <w:spacing w:after="0" w:line="240" w:lineRule="auto"/>
              <w:rPr>
                <w:rFonts w:hint="default" w:asciiTheme="majorAscii" w:hAnsiTheme="majorAscii"/>
                <w:sz w:val="22"/>
                <w:szCs w:val="22"/>
              </w:rPr>
            </w:pPr>
            <w:r>
              <w:rPr>
                <w:rFonts w:hint="default" w:asciiTheme="majorAscii" w:hAnsiTheme="majorAscii"/>
                <w:b w:val="0"/>
                <w:sz w:val="22"/>
                <w:szCs w:val="22"/>
              </w:rPr>
              <w:t>Precisione</w:t>
            </w:r>
          </w:p>
        </w:tc>
        <w:tc>
          <w:tcPr>
            <w:tcW w:w="5472" w:type="dxa"/>
            <w:shd w:val="clear" w:color="auto" w:fill="FFFFFF"/>
            <w:vAlign w:val="center"/>
          </w:tcPr>
          <w:p w14:paraId="4728D46C">
            <w:pPr>
              <w:spacing w:after="0" w:line="240" w:lineRule="auto"/>
              <w:rPr>
                <w:rFonts w:hint="default" w:asciiTheme="majorAscii" w:hAnsiTheme="majorAscii"/>
                <w:sz w:val="22"/>
                <w:szCs w:val="22"/>
              </w:rPr>
            </w:pPr>
            <w:r>
              <w:rPr>
                <w:rFonts w:hint="default" w:asciiTheme="majorAscii" w:hAnsiTheme="majorAscii"/>
                <w:b w:val="0"/>
                <w:sz w:val="22"/>
                <w:szCs w:val="22"/>
              </w:rPr>
              <w:t>±1° (in condizioni tipiche di affilatura)</w:t>
            </w:r>
          </w:p>
        </w:tc>
      </w:tr>
      <w:tr w14:paraId="060C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33384636">
            <w:pPr>
              <w:spacing w:after="0" w:line="240" w:lineRule="auto"/>
              <w:rPr>
                <w:rFonts w:hint="default" w:asciiTheme="majorAscii" w:hAnsiTheme="majorAscii"/>
                <w:sz w:val="22"/>
                <w:szCs w:val="22"/>
              </w:rPr>
            </w:pPr>
            <w:r>
              <w:rPr>
                <w:rFonts w:hint="default" w:asciiTheme="majorAscii" w:hAnsiTheme="majorAscii"/>
                <w:b w:val="0"/>
                <w:sz w:val="22"/>
                <w:szCs w:val="22"/>
              </w:rPr>
              <w:t>Risoluzione</w:t>
            </w:r>
          </w:p>
        </w:tc>
        <w:tc>
          <w:tcPr>
            <w:tcW w:w="5472" w:type="dxa"/>
            <w:shd w:val="clear" w:color="auto" w:fill="FFFFFF"/>
            <w:vAlign w:val="center"/>
          </w:tcPr>
          <w:p w14:paraId="6BABC481">
            <w:pPr>
              <w:spacing w:after="0" w:line="240" w:lineRule="auto"/>
              <w:rPr>
                <w:rFonts w:hint="default" w:asciiTheme="majorAscii" w:hAnsiTheme="majorAscii"/>
                <w:sz w:val="22"/>
                <w:szCs w:val="22"/>
              </w:rPr>
            </w:pPr>
            <w:r>
              <w:rPr>
                <w:rFonts w:hint="default" w:asciiTheme="majorAscii" w:hAnsiTheme="majorAscii"/>
                <w:b w:val="0"/>
                <w:sz w:val="22"/>
                <w:szCs w:val="22"/>
              </w:rPr>
              <w:t>1°</w:t>
            </w:r>
          </w:p>
        </w:tc>
      </w:tr>
      <w:tr w14:paraId="1ABE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4A0F1F94">
            <w:pPr>
              <w:spacing w:after="0" w:line="240" w:lineRule="auto"/>
              <w:rPr>
                <w:rFonts w:hint="default" w:asciiTheme="majorAscii" w:hAnsiTheme="majorAscii"/>
                <w:sz w:val="22"/>
                <w:szCs w:val="22"/>
              </w:rPr>
            </w:pPr>
            <w:r>
              <w:rPr>
                <w:rFonts w:hint="default" w:asciiTheme="majorAscii" w:hAnsiTheme="majorAscii"/>
                <w:b w:val="0"/>
                <w:sz w:val="22"/>
                <w:szCs w:val="22"/>
              </w:rPr>
              <w:t>Intervallo di misurazione</w:t>
            </w:r>
          </w:p>
        </w:tc>
        <w:tc>
          <w:tcPr>
            <w:tcW w:w="5472" w:type="dxa"/>
            <w:shd w:val="clear" w:color="auto" w:fill="FFFFFF"/>
            <w:vAlign w:val="center"/>
          </w:tcPr>
          <w:p w14:paraId="080EBC59">
            <w:pPr>
              <w:spacing w:after="0" w:line="240" w:lineRule="auto"/>
              <w:rPr>
                <w:rFonts w:hint="default" w:asciiTheme="majorAscii" w:hAnsiTheme="majorAscii"/>
                <w:sz w:val="22"/>
                <w:szCs w:val="22"/>
              </w:rPr>
            </w:pPr>
            <w:r>
              <w:rPr>
                <w:rFonts w:hint="default" w:asciiTheme="majorAscii" w:hAnsiTheme="majorAscii"/>
                <w:b w:val="0"/>
                <w:sz w:val="22"/>
                <w:szCs w:val="22"/>
              </w:rPr>
              <w:t>0 - 80°</w:t>
            </w:r>
          </w:p>
        </w:tc>
      </w:tr>
      <w:tr w14:paraId="1B0C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30C5CBD1">
            <w:pPr>
              <w:spacing w:after="0" w:line="240" w:lineRule="auto"/>
              <w:rPr>
                <w:rFonts w:hint="default" w:asciiTheme="majorAscii" w:hAnsiTheme="majorAscii"/>
                <w:sz w:val="22"/>
                <w:szCs w:val="22"/>
              </w:rPr>
            </w:pPr>
            <w:r>
              <w:rPr>
                <w:rFonts w:hint="default" w:asciiTheme="majorAscii" w:hAnsiTheme="majorAscii"/>
                <w:b w:val="0"/>
                <w:sz w:val="22"/>
                <w:szCs w:val="22"/>
              </w:rPr>
              <w:t>Batteria</w:t>
            </w:r>
          </w:p>
        </w:tc>
        <w:tc>
          <w:tcPr>
            <w:tcW w:w="5472" w:type="dxa"/>
            <w:shd w:val="clear" w:color="auto" w:fill="FFFFFF"/>
            <w:vAlign w:val="center"/>
          </w:tcPr>
          <w:p w14:paraId="1BD33939">
            <w:pPr>
              <w:spacing w:after="0" w:line="240" w:lineRule="auto"/>
              <w:rPr>
                <w:rFonts w:hint="default" w:asciiTheme="majorAscii" w:hAnsiTheme="majorAscii"/>
                <w:sz w:val="22"/>
                <w:szCs w:val="22"/>
              </w:rPr>
            </w:pPr>
            <w:r>
              <w:rPr>
                <w:rFonts w:hint="default" w:asciiTheme="majorAscii" w:hAnsiTheme="majorAscii"/>
                <w:b w:val="0"/>
                <w:sz w:val="22"/>
                <w:szCs w:val="22"/>
              </w:rPr>
              <w:t>CR2450 3V (sostituibile, 1 di ricambio inclusa)</w:t>
            </w:r>
          </w:p>
        </w:tc>
      </w:tr>
      <w:tr w14:paraId="2F2B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3C92C75C">
            <w:pPr>
              <w:spacing w:after="0" w:line="240" w:lineRule="auto"/>
              <w:rPr>
                <w:rFonts w:hint="default" w:asciiTheme="majorAscii" w:hAnsiTheme="majorAscii"/>
                <w:sz w:val="22"/>
                <w:szCs w:val="22"/>
              </w:rPr>
            </w:pPr>
            <w:r>
              <w:rPr>
                <w:rFonts w:hint="default" w:asciiTheme="majorAscii" w:hAnsiTheme="majorAscii"/>
                <w:b w:val="0"/>
                <w:sz w:val="22"/>
                <w:szCs w:val="22"/>
              </w:rPr>
              <w:t>Cacciavite</w:t>
            </w:r>
          </w:p>
        </w:tc>
        <w:tc>
          <w:tcPr>
            <w:tcW w:w="5472" w:type="dxa"/>
            <w:shd w:val="clear" w:color="auto" w:fill="FFFFFF"/>
            <w:vAlign w:val="center"/>
          </w:tcPr>
          <w:p w14:paraId="38672638">
            <w:pPr>
              <w:spacing w:after="0" w:line="240" w:lineRule="auto"/>
              <w:rPr>
                <w:rFonts w:hint="default" w:asciiTheme="majorAscii" w:hAnsiTheme="majorAscii"/>
                <w:sz w:val="22"/>
                <w:szCs w:val="22"/>
              </w:rPr>
            </w:pPr>
            <w:r>
              <w:rPr>
                <w:rFonts w:hint="default" w:asciiTheme="majorAscii" w:hAnsiTheme="majorAscii"/>
                <w:b w:val="0"/>
                <w:sz w:val="22"/>
                <w:szCs w:val="22"/>
              </w:rPr>
              <w:t>Incluso</w:t>
            </w:r>
          </w:p>
        </w:tc>
      </w:tr>
      <w:tr w14:paraId="685B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71210D96">
            <w:pPr>
              <w:spacing w:after="0" w:line="240" w:lineRule="auto"/>
              <w:rPr>
                <w:rFonts w:hint="default" w:asciiTheme="majorAscii" w:hAnsiTheme="majorAscii"/>
                <w:sz w:val="22"/>
                <w:szCs w:val="22"/>
              </w:rPr>
            </w:pPr>
            <w:r>
              <w:rPr>
                <w:rFonts w:hint="default" w:asciiTheme="majorAscii" w:hAnsiTheme="majorAscii"/>
                <w:b w:val="0"/>
                <w:sz w:val="22"/>
                <w:szCs w:val="22"/>
              </w:rPr>
              <w:t>Grado di protezione</w:t>
            </w:r>
          </w:p>
        </w:tc>
        <w:tc>
          <w:tcPr>
            <w:tcW w:w="5472" w:type="dxa"/>
            <w:shd w:val="clear" w:color="auto" w:fill="FFFFFF"/>
            <w:vAlign w:val="center"/>
          </w:tcPr>
          <w:p w14:paraId="080C2E97">
            <w:pPr>
              <w:spacing w:after="0" w:line="240" w:lineRule="auto"/>
              <w:rPr>
                <w:rFonts w:hint="default" w:asciiTheme="majorAscii" w:hAnsiTheme="majorAscii"/>
                <w:sz w:val="22"/>
                <w:szCs w:val="22"/>
              </w:rPr>
            </w:pPr>
            <w:r>
              <w:rPr>
                <w:rFonts w:hint="default" w:asciiTheme="majorAscii" w:hAnsiTheme="majorAscii"/>
                <w:b w:val="0"/>
                <w:sz w:val="22"/>
                <w:szCs w:val="22"/>
              </w:rPr>
              <w:t>IP54</w:t>
            </w:r>
          </w:p>
        </w:tc>
      </w:tr>
      <w:tr w14:paraId="353D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70F8A1DE">
            <w:pPr>
              <w:spacing w:after="0" w:line="240" w:lineRule="auto"/>
              <w:rPr>
                <w:rFonts w:hint="default" w:asciiTheme="majorAscii" w:hAnsiTheme="majorAscii"/>
                <w:sz w:val="22"/>
                <w:szCs w:val="22"/>
              </w:rPr>
            </w:pPr>
            <w:r>
              <w:rPr>
                <w:rFonts w:hint="default" w:asciiTheme="majorAscii" w:hAnsiTheme="majorAscii"/>
                <w:b w:val="0"/>
                <w:sz w:val="22"/>
                <w:szCs w:val="22"/>
              </w:rPr>
              <w:t>Temperatura di esercizio</w:t>
            </w:r>
          </w:p>
        </w:tc>
        <w:tc>
          <w:tcPr>
            <w:tcW w:w="5472" w:type="dxa"/>
            <w:shd w:val="clear" w:color="auto" w:fill="FFFFFF"/>
            <w:vAlign w:val="center"/>
          </w:tcPr>
          <w:p w14:paraId="3704804B">
            <w:pPr>
              <w:spacing w:after="0" w:line="240" w:lineRule="auto"/>
              <w:rPr>
                <w:rFonts w:hint="default" w:asciiTheme="majorAscii" w:hAnsiTheme="majorAscii"/>
                <w:sz w:val="22"/>
                <w:szCs w:val="22"/>
              </w:rPr>
            </w:pPr>
            <w:r>
              <w:rPr>
                <w:rFonts w:hint="default" w:asciiTheme="majorAscii" w:hAnsiTheme="majorAscii"/>
                <w:b w:val="0"/>
                <w:sz w:val="22"/>
                <w:szCs w:val="22"/>
              </w:rPr>
              <w:t>32°F - 104°F (0°C - 40°C)</w:t>
            </w:r>
          </w:p>
        </w:tc>
      </w:tr>
    </w:tbl>
    <w:p w14:paraId="46A547D1">
      <w:pPr>
        <w:spacing w:after="60"/>
        <w:rPr>
          <w:rFonts w:hint="default" w:asciiTheme="majorAscii" w:hAnsiTheme="majorAscii"/>
          <w:sz w:val="22"/>
          <w:szCs w:val="22"/>
        </w:rPr>
      </w:pPr>
      <w:r>
        <w:rPr>
          <w:rFonts w:hint="default" w:asciiTheme="majorAscii" w:hAnsiTheme="majorAscii"/>
          <w:b/>
          <w:sz w:val="22"/>
          <w:szCs w:val="22"/>
        </w:rPr>
        <w:t>Nota:</w:t>
      </w:r>
      <w:r>
        <w:rPr>
          <w:rFonts w:hint="default" w:asciiTheme="majorAscii" w:hAnsiTheme="majorAscii"/>
          <w:b w:val="0"/>
          <w:sz w:val="22"/>
          <w:szCs w:val="22"/>
        </w:rPr>
        <w:t xml:space="preserve"> Questo dispositivo è progettato per l’uso durante l’affilatura effettiva, non per misurazioni statiche.</w:t>
      </w:r>
    </w:p>
    <w:p w14:paraId="52A8DE71">
      <w:pPr>
        <w:spacing w:after="80"/>
        <w:rPr>
          <w:rFonts w:hint="default" w:asciiTheme="majorAscii" w:hAnsiTheme="majorAscii"/>
          <w:sz w:val="22"/>
          <w:szCs w:val="22"/>
        </w:rPr>
      </w:pPr>
      <w:r>
        <w:rPr>
          <w:rFonts w:hint="default" w:asciiTheme="majorAscii" w:hAnsiTheme="majorAscii"/>
          <w:sz w:val="22"/>
          <w:szCs w:val="22"/>
        </w:rPr>
        <w:t>In condizioni tipiche di affilatura, ad esempio utilizzando una pietra per affilare da 8"x 3" ( 203 x 76 mm ) a velocità controllata (meno di 30 passate avanti e indietro al minuto), la fluttuazione dell’angolo può essere mantenuta entro ±1°.</w:t>
      </w:r>
    </w:p>
    <w:p w14:paraId="01EDE573">
      <w:pPr>
        <w:spacing w:after="80"/>
        <w:rPr>
          <w:rFonts w:hint="default" w:asciiTheme="majorAscii" w:hAnsiTheme="majorAscii"/>
          <w:sz w:val="22"/>
          <w:szCs w:val="22"/>
        </w:rPr>
      </w:pPr>
    </w:p>
    <w:p w14:paraId="409BAC8A">
      <w:pPr>
        <w:spacing w:before="120" w:after="80"/>
        <w:rPr>
          <w:rFonts w:hint="default" w:asciiTheme="majorAscii" w:hAnsiTheme="majorAscii"/>
          <w:sz w:val="22"/>
          <w:szCs w:val="22"/>
        </w:rPr>
      </w:pPr>
      <w:r>
        <w:rPr>
          <w:rFonts w:hint="default" w:asciiTheme="majorAscii" w:hAnsiTheme="majorAscii"/>
          <w:b/>
          <w:sz w:val="22"/>
          <w:szCs w:val="22"/>
        </w:rPr>
        <w:t>PANORAMICA DEL PRODOTTO</w:t>
      </w:r>
    </w:p>
    <w:p w14:paraId="07BBCD69">
      <w:pPr>
        <w:spacing w:after="30"/>
        <w:rPr>
          <w:rFonts w:hint="default" w:asciiTheme="majorAscii" w:hAnsiTheme="majorAscii"/>
          <w:sz w:val="22"/>
          <w:szCs w:val="22"/>
        </w:rPr>
      </w:pPr>
      <w:r>
        <w:rPr>
          <w:rFonts w:hint="default" w:asciiTheme="majorAscii" w:hAnsiTheme="majorAscii"/>
          <w:sz w:val="22"/>
          <w:szCs w:val="22"/>
        </w:rPr>
        <w:t>Questo Allenatore digitale dell’angolo di affilatura è progettato come strumento di allenamento per l’affilatura, non come dispositivo di misurazione di precisione tradizionale.</w:t>
      </w:r>
    </w:p>
    <w:p w14:paraId="36966A99">
      <w:pPr>
        <w:spacing w:after="30"/>
        <w:rPr>
          <w:rFonts w:hint="default" w:asciiTheme="majorAscii" w:hAnsiTheme="majorAscii"/>
          <w:sz w:val="22"/>
          <w:szCs w:val="22"/>
        </w:rPr>
      </w:pPr>
      <w:r>
        <w:rPr>
          <w:rFonts w:hint="default" w:asciiTheme="majorAscii" w:hAnsiTheme="majorAscii"/>
          <w:sz w:val="22"/>
          <w:szCs w:val="22"/>
        </w:rPr>
        <w:t>È destinato all’uso durante movimenti reali di affilatura per aiutare gli utenti a sviluppare un controllo costante della mano e memoria muscolare.</w:t>
      </w:r>
    </w:p>
    <w:p w14:paraId="3216A6A9">
      <w:pPr>
        <w:spacing w:after="30"/>
        <w:rPr>
          <w:rFonts w:hint="default" w:asciiTheme="majorAscii" w:hAnsiTheme="majorAscii"/>
          <w:sz w:val="22"/>
          <w:szCs w:val="22"/>
        </w:rPr>
      </w:pPr>
      <w:r>
        <w:rPr>
          <w:rFonts w:hint="default" w:asciiTheme="majorAscii" w:hAnsiTheme="majorAscii"/>
          <w:sz w:val="22"/>
          <w:szCs w:val="22"/>
        </w:rPr>
        <w:t>Nell’affilatura, la costanza è più importante della precisione numerica assoluta. Mantenere un angolo stabile entro ±1° di solito produce risultati migliori rispetto al tentativo di mantenere una lettura fissa esatta.</w:t>
      </w:r>
    </w:p>
    <w:p w14:paraId="471D8580">
      <w:pPr>
        <w:spacing w:after="30"/>
        <w:rPr>
          <w:rFonts w:hint="default" w:asciiTheme="majorAscii" w:hAnsiTheme="majorAscii"/>
          <w:sz w:val="22"/>
          <w:szCs w:val="22"/>
        </w:rPr>
      </w:pPr>
      <w:r>
        <w:rPr>
          <w:rFonts w:hint="default" w:asciiTheme="majorAscii" w:hAnsiTheme="majorAscii"/>
          <w:b w:val="0"/>
          <w:sz w:val="22"/>
          <w:szCs w:val="22"/>
        </w:rPr>
        <w:t xml:space="preserve">Per una migliore stabilità, utilizzare su lame </w:t>
      </w:r>
      <w:r>
        <w:rPr>
          <w:rFonts w:hint="default" w:asciiTheme="majorAscii" w:hAnsiTheme="majorAscii"/>
          <w:b/>
          <w:sz w:val="22"/>
          <w:szCs w:val="22"/>
        </w:rPr>
        <w:t>più larghe di 0.55 inch ( 14 mm )</w:t>
      </w:r>
      <w:r>
        <w:rPr>
          <w:rFonts w:hint="default" w:asciiTheme="majorAscii" w:hAnsiTheme="majorAscii"/>
          <w:b w:val="0"/>
          <w:sz w:val="22"/>
          <w:szCs w:val="22"/>
        </w:rPr>
        <w:t>.</w:t>
      </w:r>
    </w:p>
    <w:p w14:paraId="54DF74D2">
      <w:pPr>
        <w:spacing w:after="80"/>
        <w:rPr>
          <w:rFonts w:hint="default" w:asciiTheme="majorAscii" w:hAnsiTheme="majorAscii"/>
          <w:sz w:val="22"/>
          <w:szCs w:val="22"/>
        </w:rPr>
      </w:pPr>
      <w:r>
        <w:rPr>
          <w:rFonts w:hint="default" w:asciiTheme="majorAscii" w:hAnsiTheme="majorAscii"/>
          <w:sz w:val="22"/>
          <w:szCs w:val="22"/>
        </w:rPr>
        <w:t>Le lame più strette di 0.55 inch ( 14 mm ) potrebbero non offrire una superficie di contatto sufficiente, il che può influire sulla stabilità e portare a letture meno costanti.</w:t>
      </w:r>
    </w:p>
    <w:p w14:paraId="2ABA77B7">
      <w:pPr>
        <w:spacing w:after="80"/>
        <w:rPr>
          <w:rFonts w:hint="default" w:asciiTheme="majorAscii" w:hAnsiTheme="majorAscii"/>
          <w:sz w:val="22"/>
          <w:szCs w:val="22"/>
        </w:rPr>
      </w:pPr>
    </w:p>
    <w:p w14:paraId="12434A36">
      <w:pPr>
        <w:spacing w:before="120" w:after="80"/>
        <w:rPr>
          <w:rFonts w:hint="default" w:asciiTheme="majorAscii" w:hAnsiTheme="majorAscii"/>
          <w:sz w:val="22"/>
          <w:szCs w:val="22"/>
        </w:rPr>
      </w:pPr>
      <w:r>
        <w:rPr>
          <w:rFonts w:hint="default" w:asciiTheme="majorAscii" w:hAnsiTheme="majorAscii"/>
          <w:b/>
          <w:sz w:val="22"/>
          <w:szCs w:val="22"/>
        </w:rPr>
        <w:t>RACCOMANDAZIONE SULLA VELOCITÀ</w:t>
      </w:r>
    </w:p>
    <w:p w14:paraId="3FF9605E">
      <w:pPr>
        <w:spacing w:after="30"/>
        <w:rPr>
          <w:rFonts w:hint="default" w:asciiTheme="majorAscii" w:hAnsiTheme="majorAscii"/>
          <w:sz w:val="22"/>
          <w:szCs w:val="22"/>
        </w:rPr>
      </w:pPr>
      <w:r>
        <w:rPr>
          <w:rFonts w:hint="default" w:asciiTheme="majorAscii" w:hAnsiTheme="majorAscii"/>
          <w:sz w:val="22"/>
          <w:szCs w:val="22"/>
        </w:rPr>
        <w:t>Quando si utilizza una pietra per affilare da 8"x 3" ( 203 x 76 mm ), mantenere la velocità di affilatura al di sotto di 30 passate avanti e indietro al minuto.</w:t>
      </w:r>
    </w:p>
    <w:p w14:paraId="7C230195">
      <w:pPr>
        <w:spacing w:after="30"/>
        <w:rPr>
          <w:rFonts w:hint="default" w:asciiTheme="majorAscii" w:hAnsiTheme="majorAscii"/>
          <w:sz w:val="22"/>
          <w:szCs w:val="22"/>
        </w:rPr>
      </w:pPr>
      <w:r>
        <w:rPr>
          <w:rFonts w:hint="default" w:asciiTheme="majorAscii" w:hAnsiTheme="majorAscii"/>
          <w:sz w:val="22"/>
          <w:szCs w:val="22"/>
        </w:rPr>
        <w:t>Un movimento più lento e controllato migliora la stabilità dell’angolo.</w:t>
      </w:r>
    </w:p>
    <w:p w14:paraId="71DFC4E5">
      <w:pPr>
        <w:spacing w:after="30"/>
        <w:rPr>
          <w:rFonts w:hint="default" w:asciiTheme="majorAscii" w:hAnsiTheme="majorAscii"/>
          <w:sz w:val="22"/>
          <w:szCs w:val="22"/>
        </w:rPr>
      </w:pPr>
      <w:r>
        <w:rPr>
          <w:rFonts w:hint="default" w:asciiTheme="majorAscii" w:hAnsiTheme="majorAscii"/>
          <w:sz w:val="22"/>
          <w:szCs w:val="22"/>
        </w:rPr>
        <w:t>Un movimento più rapido aumenta la fluttuazione indotta dalla mano e fa oscillare maggiormente la lettura.</w:t>
      </w:r>
    </w:p>
    <w:p w14:paraId="54DCC61E">
      <w:pPr>
        <w:spacing w:after="80"/>
        <w:rPr>
          <w:rFonts w:hint="default" w:asciiTheme="majorAscii" w:hAnsiTheme="majorAscii"/>
          <w:sz w:val="22"/>
          <w:szCs w:val="22"/>
        </w:rPr>
      </w:pPr>
      <w:r>
        <w:rPr>
          <w:rFonts w:hint="default" w:asciiTheme="majorAscii" w:hAnsiTheme="majorAscii"/>
          <w:sz w:val="22"/>
          <w:szCs w:val="22"/>
        </w:rPr>
        <w:t>Concentrarsi su passate lente, stabili e costanti.</w:t>
      </w:r>
    </w:p>
    <w:p w14:paraId="4A92EF06">
      <w:pPr>
        <w:spacing w:after="80"/>
        <w:rPr>
          <w:rFonts w:hint="default" w:asciiTheme="majorAscii" w:hAnsiTheme="majorAscii"/>
          <w:sz w:val="22"/>
          <w:szCs w:val="22"/>
        </w:rPr>
      </w:pPr>
    </w:p>
    <w:p w14:paraId="7ACB342C">
      <w:pPr>
        <w:spacing w:before="120" w:after="80"/>
        <w:rPr>
          <w:rFonts w:hint="default" w:asciiTheme="majorAscii" w:hAnsiTheme="majorAscii"/>
          <w:sz w:val="22"/>
          <w:szCs w:val="22"/>
        </w:rPr>
      </w:pPr>
      <w:r>
        <w:rPr>
          <w:rFonts w:hint="default" w:asciiTheme="majorAscii" w:hAnsiTheme="majorAscii"/>
          <w:b/>
          <w:sz w:val="22"/>
          <w:szCs w:val="22"/>
        </w:rPr>
        <w:t>COMPRENDERE LE LETTURE DELL’ANGOLO</w:t>
      </w:r>
    </w:p>
    <w:p w14:paraId="78B27B7A">
      <w:pPr>
        <w:spacing w:after="26"/>
        <w:rPr>
          <w:rFonts w:hint="default" w:asciiTheme="majorAscii" w:hAnsiTheme="majorAscii"/>
          <w:sz w:val="22"/>
          <w:szCs w:val="22"/>
        </w:rPr>
      </w:pPr>
      <w:r>
        <w:rPr>
          <w:rFonts w:hint="default" w:asciiTheme="majorAscii" w:hAnsiTheme="majorAscii"/>
          <w:b w:val="0"/>
          <w:sz w:val="22"/>
          <w:szCs w:val="22"/>
        </w:rPr>
        <w:t>• Questo dispositivo mostra le variazioni dell’angolo in tempo reale durante l’affilatura.</w:t>
      </w:r>
    </w:p>
    <w:p w14:paraId="1E052B43">
      <w:pPr>
        <w:spacing w:after="26"/>
        <w:rPr>
          <w:rFonts w:hint="default" w:asciiTheme="majorAscii" w:hAnsiTheme="majorAscii"/>
          <w:sz w:val="22"/>
          <w:szCs w:val="22"/>
        </w:rPr>
      </w:pPr>
      <w:r>
        <w:rPr>
          <w:rFonts w:hint="default" w:asciiTheme="majorAscii" w:hAnsiTheme="majorAscii"/>
          <w:b w:val="0"/>
          <w:sz w:val="22"/>
          <w:szCs w:val="22"/>
        </w:rPr>
        <w:t>• Non blocca né stabilizza la lettura come uno strumento di misurazione statico.</w:t>
      </w:r>
    </w:p>
    <w:p w14:paraId="323A3029">
      <w:pPr>
        <w:spacing w:after="26"/>
        <w:rPr>
          <w:rFonts w:hint="default" w:asciiTheme="majorAscii" w:hAnsiTheme="majorAscii"/>
          <w:sz w:val="22"/>
          <w:szCs w:val="22"/>
        </w:rPr>
      </w:pPr>
      <w:r>
        <w:rPr>
          <w:rFonts w:hint="default" w:asciiTheme="majorAscii" w:hAnsiTheme="majorAscii"/>
          <w:b w:val="0"/>
          <w:sz w:val="22"/>
          <w:szCs w:val="22"/>
        </w:rPr>
        <w:t>• Lievi variazioni sono normali.</w:t>
      </w:r>
    </w:p>
    <w:p w14:paraId="7D05E897">
      <w:pPr>
        <w:spacing w:after="26"/>
        <w:rPr>
          <w:rFonts w:hint="default" w:asciiTheme="majorAscii" w:hAnsiTheme="majorAscii"/>
          <w:b w:val="0"/>
          <w:sz w:val="22"/>
          <w:szCs w:val="22"/>
        </w:rPr>
      </w:pPr>
      <w:r>
        <w:rPr>
          <w:rFonts w:hint="default" w:asciiTheme="majorAscii" w:hAnsiTheme="majorAscii"/>
          <w:b w:val="0"/>
          <w:sz w:val="22"/>
          <w:szCs w:val="22"/>
        </w:rPr>
        <w:t>• L’obiettivo è mantenere un intervallo costante ( ±1° ), non un numero fisso.</w:t>
      </w:r>
    </w:p>
    <w:p w14:paraId="0C950CD5">
      <w:pPr>
        <w:spacing w:after="26"/>
        <w:rPr>
          <w:rFonts w:hint="default" w:asciiTheme="majorAscii" w:hAnsiTheme="majorAscii"/>
          <w:b w:val="0"/>
          <w:sz w:val="22"/>
          <w:szCs w:val="22"/>
        </w:rPr>
      </w:pPr>
    </w:p>
    <w:p w14:paraId="1A9A22B7">
      <w:pPr>
        <w:spacing w:before="120" w:after="80"/>
        <w:rPr>
          <w:rFonts w:hint="default" w:asciiTheme="majorAscii" w:hAnsiTheme="majorAscii"/>
          <w:sz w:val="22"/>
          <w:szCs w:val="22"/>
        </w:rPr>
      </w:pPr>
      <w:r>
        <w:rPr>
          <w:rFonts w:hint="default" w:asciiTheme="majorAscii" w:hAnsiTheme="majorAscii"/>
          <w:b/>
          <w:sz w:val="22"/>
          <w:szCs w:val="22"/>
        </w:rPr>
        <w:t>ANGOLI DI AFFILATURA CONSIGLIATI</w:t>
      </w:r>
    </w:p>
    <w:tbl>
      <w:tblPr>
        <w:tblStyle w:val="32"/>
        <w:tblW w:w="8719"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9"/>
        <w:gridCol w:w="2190"/>
      </w:tblGrid>
      <w:tr w14:paraId="334E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529" w:type="dxa"/>
            <w:tcBorders>
              <w:top w:val="single" w:color="auto" w:sz="4" w:space="0"/>
              <w:left w:val="single" w:color="auto" w:sz="4" w:space="0"/>
              <w:bottom w:val="single" w:color="auto" w:sz="4" w:space="0"/>
              <w:right w:val="single" w:color="auto" w:sz="4" w:space="0"/>
            </w:tcBorders>
            <w:shd w:val="clear" w:color="000000" w:fill="484F79"/>
            <w:vAlign w:val="bottom"/>
          </w:tcPr>
          <w:p w14:paraId="4CC3C508">
            <w:pPr>
              <w:spacing w:after="0" w:line="240" w:lineRule="auto"/>
              <w:jc w:val="center"/>
              <w:rPr>
                <w:rFonts w:hint="default" w:asciiTheme="majorAscii" w:hAnsiTheme="majorAscii"/>
                <w:sz w:val="22"/>
                <w:szCs w:val="22"/>
              </w:rPr>
            </w:pPr>
            <w:r>
              <w:rPr>
                <w:rFonts w:hint="default" w:eastAsia="Arial" w:asciiTheme="majorAscii" w:hAnsiTheme="majorAscii"/>
                <w:b/>
                <w:color w:val="FFFFFF"/>
                <w:sz w:val="21"/>
                <w:szCs w:val="22"/>
              </w:rPr>
              <w:t>Tipo di coltello o utensile</w:t>
            </w:r>
          </w:p>
        </w:tc>
        <w:tc>
          <w:tcPr>
            <w:tcW w:w="2190" w:type="dxa"/>
            <w:tcBorders>
              <w:top w:val="single" w:color="auto" w:sz="4" w:space="0"/>
              <w:left w:val="nil"/>
              <w:bottom w:val="single" w:color="auto" w:sz="4" w:space="0"/>
              <w:right w:val="single" w:color="auto" w:sz="4" w:space="0"/>
            </w:tcBorders>
            <w:shd w:val="clear" w:color="000000" w:fill="484F79"/>
            <w:vAlign w:val="bottom"/>
          </w:tcPr>
          <w:p w14:paraId="1F5E4517">
            <w:pPr>
              <w:spacing w:after="0" w:line="240" w:lineRule="auto"/>
              <w:jc w:val="center"/>
              <w:rPr>
                <w:rFonts w:hint="default" w:asciiTheme="majorAscii" w:hAnsiTheme="majorAscii"/>
                <w:sz w:val="22"/>
                <w:szCs w:val="22"/>
              </w:rPr>
            </w:pPr>
            <w:r>
              <w:rPr>
                <w:rFonts w:hint="default" w:eastAsia="Arial" w:asciiTheme="majorAscii" w:hAnsiTheme="majorAscii"/>
                <w:b/>
                <w:color w:val="FFFFFF"/>
                <w:sz w:val="21"/>
                <w:szCs w:val="22"/>
              </w:rPr>
              <w:t>Angolo comune</w:t>
            </w:r>
          </w:p>
        </w:tc>
      </w:tr>
      <w:tr w14:paraId="4880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6A9F53E3">
            <w:pPr>
              <w:spacing w:after="0" w:line="240" w:lineRule="auto"/>
              <w:jc w:val="left"/>
              <w:rPr>
                <w:rFonts w:hint="default" w:asciiTheme="majorAscii" w:hAnsiTheme="majorAscii"/>
                <w:sz w:val="22"/>
                <w:szCs w:val="22"/>
              </w:rPr>
            </w:pPr>
            <w:r>
              <w:rPr>
                <w:rFonts w:hint="default" w:eastAsia="Arial" w:asciiTheme="majorAscii" w:hAnsiTheme="majorAscii"/>
                <w:b w:val="0"/>
                <w:color w:val="000000"/>
                <w:sz w:val="21"/>
                <w:szCs w:val="22"/>
              </w:rPr>
              <w:t>Mannaia/Machete</w:t>
            </w:r>
          </w:p>
        </w:tc>
        <w:tc>
          <w:tcPr>
            <w:tcW w:w="2190" w:type="dxa"/>
            <w:tcBorders>
              <w:top w:val="nil"/>
              <w:left w:val="nil"/>
              <w:bottom w:val="single" w:color="auto" w:sz="4" w:space="0"/>
              <w:right w:val="single" w:color="auto" w:sz="4" w:space="0"/>
            </w:tcBorders>
            <w:shd w:val="clear" w:color="000000" w:fill="FFFFFF"/>
            <w:vAlign w:val="center"/>
          </w:tcPr>
          <w:p w14:paraId="640087AD">
            <w:pPr>
              <w:spacing w:after="0" w:line="240" w:lineRule="auto"/>
              <w:jc w:val="center"/>
              <w:rPr>
                <w:rFonts w:hint="default" w:asciiTheme="majorAscii" w:hAnsiTheme="majorAscii"/>
                <w:sz w:val="22"/>
                <w:szCs w:val="22"/>
              </w:rPr>
            </w:pPr>
            <w:r>
              <w:rPr>
                <w:rFonts w:hint="default" w:eastAsia="Arial" w:asciiTheme="majorAscii" w:hAnsiTheme="majorAscii"/>
                <w:b w:val="0"/>
                <w:color w:val="000000"/>
                <w:sz w:val="21"/>
                <w:szCs w:val="22"/>
              </w:rPr>
              <w:t>25 - 30 gradi</w:t>
            </w:r>
          </w:p>
        </w:tc>
      </w:tr>
      <w:tr w14:paraId="641D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5C49A87A">
            <w:pPr>
              <w:spacing w:after="0" w:line="240" w:lineRule="auto"/>
              <w:jc w:val="left"/>
              <w:rPr>
                <w:rFonts w:hint="default" w:asciiTheme="majorAscii" w:hAnsiTheme="majorAscii"/>
                <w:sz w:val="22"/>
                <w:szCs w:val="22"/>
              </w:rPr>
            </w:pPr>
            <w:r>
              <w:rPr>
                <w:rFonts w:hint="default" w:eastAsia="Arial" w:asciiTheme="majorAscii" w:hAnsiTheme="majorAscii"/>
                <w:b w:val="0"/>
                <w:color w:val="000000"/>
                <w:sz w:val="21"/>
                <w:szCs w:val="22"/>
              </w:rPr>
              <w:t>Coltelli da caccia/tascabili/da sopravvivenza/sportivi</w:t>
            </w:r>
          </w:p>
        </w:tc>
        <w:tc>
          <w:tcPr>
            <w:tcW w:w="2190" w:type="dxa"/>
            <w:tcBorders>
              <w:top w:val="nil"/>
              <w:left w:val="nil"/>
              <w:bottom w:val="single" w:color="auto" w:sz="4" w:space="0"/>
              <w:right w:val="single" w:color="auto" w:sz="4" w:space="0"/>
            </w:tcBorders>
            <w:shd w:val="clear" w:color="000000" w:fill="F5F5F5"/>
            <w:vAlign w:val="center"/>
          </w:tcPr>
          <w:p w14:paraId="2FD35BD9">
            <w:pPr>
              <w:spacing w:after="0" w:line="240" w:lineRule="auto"/>
              <w:jc w:val="center"/>
              <w:rPr>
                <w:rFonts w:hint="default" w:asciiTheme="majorAscii" w:hAnsiTheme="majorAscii"/>
                <w:sz w:val="22"/>
                <w:szCs w:val="22"/>
              </w:rPr>
            </w:pPr>
            <w:r>
              <w:rPr>
                <w:rFonts w:hint="default" w:eastAsia="Arial" w:asciiTheme="majorAscii" w:hAnsiTheme="majorAscii"/>
                <w:b w:val="0"/>
                <w:color w:val="000000"/>
                <w:sz w:val="21"/>
                <w:szCs w:val="22"/>
              </w:rPr>
              <w:t>20 - 25 gradi</w:t>
            </w:r>
          </w:p>
        </w:tc>
      </w:tr>
      <w:tr w14:paraId="5717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617F048E">
            <w:pPr>
              <w:spacing w:after="0" w:line="240" w:lineRule="auto"/>
              <w:jc w:val="left"/>
              <w:rPr>
                <w:rFonts w:hint="default" w:asciiTheme="majorAscii" w:hAnsiTheme="majorAscii"/>
                <w:sz w:val="22"/>
                <w:szCs w:val="22"/>
              </w:rPr>
            </w:pPr>
            <w:r>
              <w:rPr>
                <w:rFonts w:hint="default" w:eastAsia="Arial" w:asciiTheme="majorAscii" w:hAnsiTheme="majorAscii"/>
                <w:b w:val="0"/>
                <w:color w:val="000000"/>
                <w:sz w:val="21"/>
                <w:szCs w:val="22"/>
              </w:rPr>
              <w:t>Coltelli da chef/da cucina/piccoli/da disosso/da trinciare</w:t>
            </w:r>
          </w:p>
        </w:tc>
        <w:tc>
          <w:tcPr>
            <w:tcW w:w="2190" w:type="dxa"/>
            <w:tcBorders>
              <w:top w:val="nil"/>
              <w:left w:val="nil"/>
              <w:bottom w:val="single" w:color="auto" w:sz="4" w:space="0"/>
              <w:right w:val="single" w:color="auto" w:sz="4" w:space="0"/>
            </w:tcBorders>
            <w:shd w:val="clear" w:color="000000" w:fill="FFFFFF"/>
            <w:vAlign w:val="center"/>
          </w:tcPr>
          <w:p w14:paraId="6B2EF2A9">
            <w:pPr>
              <w:spacing w:after="0" w:line="240" w:lineRule="auto"/>
              <w:jc w:val="center"/>
              <w:rPr>
                <w:rFonts w:hint="default" w:asciiTheme="majorAscii" w:hAnsiTheme="majorAscii"/>
                <w:sz w:val="22"/>
                <w:szCs w:val="22"/>
              </w:rPr>
            </w:pPr>
            <w:r>
              <w:rPr>
                <w:rFonts w:hint="default" w:eastAsia="Arial" w:asciiTheme="majorAscii" w:hAnsiTheme="majorAscii"/>
                <w:b w:val="0"/>
                <w:color w:val="000000"/>
                <w:sz w:val="21"/>
                <w:szCs w:val="22"/>
              </w:rPr>
              <w:t>17 - 22 gradi</w:t>
            </w:r>
          </w:p>
        </w:tc>
      </w:tr>
      <w:tr w14:paraId="38B0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4A5BAC9A">
            <w:pPr>
              <w:spacing w:after="0" w:line="240" w:lineRule="auto"/>
              <w:jc w:val="left"/>
              <w:rPr>
                <w:rFonts w:hint="default" w:asciiTheme="majorAscii" w:hAnsiTheme="majorAscii"/>
                <w:sz w:val="22"/>
                <w:szCs w:val="22"/>
              </w:rPr>
            </w:pPr>
            <w:r>
              <w:rPr>
                <w:rFonts w:hint="default" w:eastAsia="Arial" w:asciiTheme="majorAscii" w:hAnsiTheme="majorAscii"/>
                <w:b w:val="0"/>
                <w:color w:val="000000"/>
                <w:sz w:val="21"/>
                <w:szCs w:val="22"/>
              </w:rPr>
              <w:t>Coltelli da filettatura/da spelucchino/da sushi/</w:t>
            </w:r>
            <w:r>
              <w:rPr>
                <w:rFonts w:hint="default" w:eastAsia="Arial" w:asciiTheme="majorAscii" w:hAnsiTheme="majorAscii"/>
                <w:b w:val="0"/>
                <w:color w:val="000000"/>
                <w:sz w:val="21"/>
                <w:szCs w:val="22"/>
              </w:rPr>
              <w:br w:type="textWrapping"/>
            </w:r>
            <w:r>
              <w:rPr>
                <w:rFonts w:hint="default" w:eastAsia="Arial" w:asciiTheme="majorAscii" w:hAnsiTheme="majorAscii"/>
                <w:b w:val="0"/>
                <w:color w:val="000000"/>
                <w:sz w:val="21"/>
                <w:szCs w:val="22"/>
              </w:rPr>
              <w:t>La maggior parte della coltelleria giapponese</w:t>
            </w:r>
          </w:p>
        </w:tc>
        <w:tc>
          <w:tcPr>
            <w:tcW w:w="2190" w:type="dxa"/>
            <w:tcBorders>
              <w:top w:val="nil"/>
              <w:left w:val="nil"/>
              <w:bottom w:val="single" w:color="auto" w:sz="4" w:space="0"/>
              <w:right w:val="single" w:color="auto" w:sz="4" w:space="0"/>
            </w:tcBorders>
            <w:shd w:val="clear" w:color="000000" w:fill="F5F5F5"/>
            <w:vAlign w:val="center"/>
          </w:tcPr>
          <w:p w14:paraId="20C8C504">
            <w:pPr>
              <w:spacing w:after="0" w:line="240" w:lineRule="auto"/>
              <w:jc w:val="center"/>
              <w:rPr>
                <w:rFonts w:hint="default" w:asciiTheme="majorAscii" w:hAnsiTheme="majorAscii"/>
                <w:sz w:val="22"/>
                <w:szCs w:val="22"/>
              </w:rPr>
            </w:pPr>
            <w:r>
              <w:rPr>
                <w:rFonts w:hint="default" w:eastAsia="Arial" w:asciiTheme="majorAscii" w:hAnsiTheme="majorAscii"/>
                <w:b w:val="0"/>
                <w:color w:val="000000"/>
                <w:sz w:val="21"/>
                <w:szCs w:val="22"/>
              </w:rPr>
              <w:t>12 - 17 gradi</w:t>
            </w:r>
          </w:p>
        </w:tc>
      </w:tr>
    </w:tbl>
    <w:p w14:paraId="639456F0">
      <w:pPr>
        <w:spacing w:before="120" w:after="80"/>
        <w:rPr>
          <w:rFonts w:hint="default" w:asciiTheme="majorAscii" w:hAnsiTheme="majorAscii"/>
          <w:b/>
          <w:sz w:val="22"/>
          <w:szCs w:val="22"/>
        </w:rPr>
      </w:pPr>
    </w:p>
    <w:p w14:paraId="711C2E8C">
      <w:pPr>
        <w:spacing w:before="120" w:after="80"/>
        <w:rPr>
          <w:rFonts w:hint="default" w:asciiTheme="majorAscii" w:hAnsiTheme="majorAscii"/>
          <w:sz w:val="22"/>
          <w:szCs w:val="22"/>
        </w:rPr>
      </w:pPr>
      <w:r>
        <w:rPr>
          <w:rFonts w:hint="default" w:asciiTheme="majorAscii" w:hAnsiTheme="majorAscii"/>
          <w:b/>
          <w:sz w:val="22"/>
          <w:szCs w:val="22"/>
        </w:rPr>
        <w:t>DIAGRAMMA FUNZIONALE</w:t>
      </w:r>
    </w:p>
    <w:p w14:paraId="5F64C276">
      <w:pPr>
        <w:rPr>
          <w:rFonts w:hint="default" w:asciiTheme="majorAscii" w:hAnsiTheme="majorAscii"/>
          <w:sz w:val="22"/>
          <w:szCs w:val="22"/>
        </w:rPr>
      </w:pPr>
      <w:r>
        <w:rPr>
          <w:rFonts w:hint="default" w:asciiTheme="majorAscii" w:hAnsiTheme="majorAscii"/>
          <w:sz w:val="22"/>
          <w:szCs w:val="22"/>
        </w:rPr>
        <w:drawing>
          <wp:inline distT="0" distB="0" distL="114300" distR="114300">
            <wp:extent cx="2926080" cy="127508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2926080" cy="1275471"/>
                    </a:xfrm>
                    <a:prstGeom prst="rect">
                      <a:avLst/>
                    </a:prstGeom>
                  </pic:spPr>
                </pic:pic>
              </a:graphicData>
            </a:graphic>
          </wp:inline>
        </w:drawing>
      </w:r>
    </w:p>
    <w:p w14:paraId="3A57A27E">
      <w:pPr>
        <w:spacing w:after="30"/>
        <w:rPr>
          <w:rFonts w:hint="default" w:asciiTheme="majorAscii" w:hAnsiTheme="majorAscii"/>
          <w:sz w:val="22"/>
          <w:szCs w:val="22"/>
        </w:rPr>
      </w:pPr>
      <w:r>
        <w:rPr>
          <w:rFonts w:hint="default" w:asciiTheme="majorAscii" w:hAnsiTheme="majorAscii"/>
          <w:sz w:val="22"/>
          <w:szCs w:val="22"/>
        </w:rPr>
        <w:t>POWER</w:t>
      </w:r>
    </w:p>
    <w:p w14:paraId="470DA19E">
      <w:pPr>
        <w:spacing w:after="30"/>
        <w:rPr>
          <w:rFonts w:hint="default" w:asciiTheme="majorAscii" w:hAnsiTheme="majorAscii"/>
          <w:sz w:val="22"/>
          <w:szCs w:val="22"/>
        </w:rPr>
      </w:pPr>
      <w:r>
        <w:rPr>
          <w:rFonts w:hint="default" w:asciiTheme="majorAscii" w:hAnsiTheme="majorAscii"/>
          <w:sz w:val="22"/>
          <w:szCs w:val="22"/>
        </w:rPr>
        <w:t>ZERO/RESET</w:t>
      </w:r>
    </w:p>
    <w:p w14:paraId="124BB149">
      <w:pPr>
        <w:spacing w:after="30"/>
        <w:rPr>
          <w:rFonts w:hint="default" w:asciiTheme="majorAscii" w:hAnsiTheme="majorAscii"/>
          <w:sz w:val="22"/>
          <w:szCs w:val="22"/>
        </w:rPr>
      </w:pPr>
      <w:r>
        <w:rPr>
          <w:rFonts w:hint="default" w:asciiTheme="majorAscii" w:hAnsiTheme="majorAscii"/>
          <w:sz w:val="22"/>
          <w:szCs w:val="22"/>
        </w:rPr>
        <w:t>DISPLAY LCD</w:t>
      </w:r>
    </w:p>
    <w:p w14:paraId="65FD64D0">
      <w:pPr>
        <w:spacing w:after="80"/>
        <w:rPr>
          <w:rFonts w:hint="default" w:asciiTheme="majorAscii" w:hAnsiTheme="majorAscii"/>
          <w:sz w:val="22"/>
          <w:szCs w:val="22"/>
        </w:rPr>
      </w:pPr>
      <w:r>
        <w:rPr>
          <w:rFonts w:hint="default" w:asciiTheme="majorAscii" w:hAnsiTheme="majorAscii"/>
          <w:sz w:val="22"/>
          <w:szCs w:val="22"/>
        </w:rPr>
        <w:t>BASE MAGNETICA</w:t>
      </w:r>
    </w:p>
    <w:p w14:paraId="2CA97C5A">
      <w:pPr>
        <w:spacing w:after="80"/>
        <w:rPr>
          <w:rFonts w:hint="default" w:asciiTheme="majorAscii" w:hAnsiTheme="majorAscii"/>
          <w:sz w:val="22"/>
          <w:szCs w:val="22"/>
        </w:rPr>
      </w:pPr>
    </w:p>
    <w:p w14:paraId="2A1C5D8B">
      <w:pPr>
        <w:spacing w:before="120" w:after="80"/>
        <w:rPr>
          <w:rFonts w:hint="default" w:asciiTheme="majorAscii" w:hAnsiTheme="majorAscii"/>
          <w:sz w:val="22"/>
          <w:szCs w:val="22"/>
        </w:rPr>
      </w:pPr>
      <w:r>
        <w:rPr>
          <w:rFonts w:hint="default" w:asciiTheme="majorAscii" w:hAnsiTheme="majorAscii"/>
          <w:b/>
          <w:sz w:val="22"/>
          <w:szCs w:val="22"/>
        </w:rPr>
        <w:t>ACCENSIONE / SPEGNIMENTO</w:t>
      </w:r>
    </w:p>
    <w:p w14:paraId="3893C5E8">
      <w:pPr>
        <w:spacing w:after="30"/>
        <w:rPr>
          <w:rFonts w:hint="default" w:asciiTheme="majorAscii" w:hAnsiTheme="majorAscii"/>
          <w:sz w:val="22"/>
          <w:szCs w:val="22"/>
        </w:rPr>
      </w:pPr>
      <w:r>
        <w:rPr>
          <w:rFonts w:hint="default" w:asciiTheme="majorAscii" w:hAnsiTheme="majorAscii"/>
          <w:b/>
          <w:sz w:val="22"/>
          <w:szCs w:val="22"/>
        </w:rPr>
        <w:t>Accensione:</w:t>
      </w:r>
      <w:r>
        <w:rPr>
          <w:rFonts w:hint="default" w:asciiTheme="majorAscii" w:hAnsiTheme="majorAscii"/>
          <w:b w:val="0"/>
          <w:sz w:val="22"/>
          <w:szCs w:val="22"/>
        </w:rPr>
        <w:t xml:space="preserve"> Premere il pulsante di alimentazione per accendere l’unità.</w:t>
      </w:r>
    </w:p>
    <w:p w14:paraId="263BBD0D">
      <w:pPr>
        <w:spacing w:after="30"/>
        <w:rPr>
          <w:rFonts w:hint="default" w:asciiTheme="majorAscii" w:hAnsiTheme="majorAscii"/>
          <w:sz w:val="22"/>
          <w:szCs w:val="22"/>
        </w:rPr>
      </w:pPr>
      <w:r>
        <w:rPr>
          <w:rFonts w:hint="default" w:asciiTheme="majorAscii" w:hAnsiTheme="majorAscii"/>
          <w:b/>
          <w:sz w:val="22"/>
          <w:szCs w:val="22"/>
        </w:rPr>
        <w:t>Spegnimento:</w:t>
      </w:r>
      <w:r>
        <w:rPr>
          <w:rFonts w:hint="default" w:asciiTheme="majorAscii" w:hAnsiTheme="majorAscii"/>
          <w:b w:val="0"/>
          <w:sz w:val="22"/>
          <w:szCs w:val="22"/>
        </w:rPr>
        <w:t xml:space="preserve"> Tenere premuto il pulsante di alimentazione per 1-2 secondi per spegnere l’unità.</w:t>
      </w:r>
    </w:p>
    <w:p w14:paraId="2B839349">
      <w:pPr>
        <w:spacing w:after="30"/>
        <w:rPr>
          <w:rFonts w:hint="default" w:asciiTheme="majorAscii" w:hAnsiTheme="majorAscii"/>
          <w:sz w:val="22"/>
          <w:szCs w:val="22"/>
        </w:rPr>
      </w:pPr>
      <w:r>
        <w:rPr>
          <w:rFonts w:hint="default" w:asciiTheme="majorAscii" w:hAnsiTheme="majorAscii"/>
          <w:b/>
          <w:sz w:val="22"/>
          <w:szCs w:val="22"/>
        </w:rPr>
        <w:t>Nota:</w:t>
      </w:r>
      <w:r>
        <w:rPr>
          <w:rFonts w:hint="default" w:asciiTheme="majorAscii" w:hAnsiTheme="majorAscii"/>
          <w:b w:val="0"/>
          <w:sz w:val="22"/>
          <w:szCs w:val="22"/>
        </w:rPr>
        <w:t xml:space="preserve"> Dopo l’accensione, l’angolo visualizzato può inizialmente apparire più alto e poi diminuire gradualmente.</w:t>
      </w:r>
    </w:p>
    <w:p w14:paraId="10D59E29">
      <w:pPr>
        <w:spacing w:after="80"/>
        <w:rPr>
          <w:rFonts w:hint="default" w:asciiTheme="majorAscii" w:hAnsiTheme="majorAscii"/>
          <w:b w:val="0"/>
          <w:sz w:val="22"/>
          <w:szCs w:val="22"/>
        </w:rPr>
      </w:pPr>
      <w:r>
        <w:rPr>
          <w:rFonts w:hint="default" w:asciiTheme="majorAscii" w:hAnsiTheme="majorAscii"/>
          <w:b w:val="0"/>
          <w:sz w:val="22"/>
          <w:szCs w:val="22"/>
        </w:rPr>
        <w:t xml:space="preserve">Questo è normale e indica che il sensore integrato sta eseguendo una </w:t>
      </w:r>
      <w:r>
        <w:rPr>
          <w:rFonts w:hint="default" w:asciiTheme="majorAscii" w:hAnsiTheme="majorAscii"/>
          <w:b/>
          <w:sz w:val="22"/>
          <w:szCs w:val="22"/>
        </w:rPr>
        <w:t>calibrazione automatica dello zero</w:t>
      </w:r>
      <w:r>
        <w:rPr>
          <w:rFonts w:hint="default" w:asciiTheme="majorAscii" w:hAnsiTheme="majorAscii"/>
          <w:b w:val="0"/>
          <w:sz w:val="22"/>
          <w:szCs w:val="22"/>
        </w:rPr>
        <w:t>.</w:t>
      </w:r>
    </w:p>
    <w:p w14:paraId="362C6B81">
      <w:pPr>
        <w:spacing w:after="80"/>
        <w:rPr>
          <w:rFonts w:hint="default" w:asciiTheme="majorAscii" w:hAnsiTheme="majorAscii"/>
          <w:b w:val="0"/>
          <w:sz w:val="22"/>
          <w:szCs w:val="22"/>
        </w:rPr>
      </w:pPr>
    </w:p>
    <w:p w14:paraId="2468BEE4">
      <w:pPr>
        <w:spacing w:before="120" w:after="80"/>
        <w:rPr>
          <w:rFonts w:hint="default" w:asciiTheme="majorAscii" w:hAnsiTheme="majorAscii"/>
          <w:sz w:val="22"/>
          <w:szCs w:val="22"/>
        </w:rPr>
      </w:pPr>
      <w:r>
        <w:rPr>
          <w:rFonts w:hint="default" w:asciiTheme="majorAscii" w:hAnsiTheme="majorAscii"/>
          <w:b/>
          <w:sz w:val="22"/>
          <w:szCs w:val="22"/>
        </w:rPr>
        <w:t>ISTRUZIONI PER L’USO</w:t>
      </w:r>
    </w:p>
    <w:p w14:paraId="52FE0391">
      <w:pPr>
        <w:spacing w:after="30"/>
        <w:rPr>
          <w:rFonts w:hint="default" w:asciiTheme="majorAscii" w:hAnsiTheme="majorAscii"/>
          <w:sz w:val="22"/>
          <w:szCs w:val="22"/>
        </w:rPr>
      </w:pPr>
      <w:r>
        <w:rPr>
          <w:rFonts w:hint="default" w:asciiTheme="majorAscii" w:hAnsiTheme="majorAscii"/>
          <w:sz w:val="22"/>
          <w:szCs w:val="22"/>
        </w:rPr>
        <w:t>1. Posizionare il dispositivo sulla pietra per affilare. Premere il pulsante ZERO e mantenerlo fermo per circa 2 - 3 secondi per calibrarlo. Sollevare il dispositivo e riposizionarlo sulla pietra per confermare che la lettura torni a zero. Se la lettura non torna a zero, ripetere il processo di calibrazione.</w:t>
      </w:r>
    </w:p>
    <w:p w14:paraId="3FC55C60">
      <w:pPr>
        <w:spacing w:after="30"/>
        <w:rPr>
          <w:rFonts w:hint="default" w:asciiTheme="majorAscii" w:hAnsiTheme="majorAscii"/>
          <w:sz w:val="22"/>
          <w:szCs w:val="22"/>
        </w:rPr>
      </w:pPr>
      <w:r>
        <w:rPr>
          <w:rFonts w:hint="default" w:asciiTheme="majorAscii" w:hAnsiTheme="majorAscii"/>
          <w:b/>
          <w:sz w:val="22"/>
          <w:szCs w:val="22"/>
        </w:rPr>
        <w:t>Nota:</w:t>
      </w:r>
      <w:r>
        <w:rPr>
          <w:rFonts w:hint="default" w:asciiTheme="majorAscii" w:hAnsiTheme="majorAscii"/>
          <w:b w:val="0"/>
          <w:sz w:val="22"/>
          <w:szCs w:val="22"/>
        </w:rPr>
        <w:t xml:space="preserve"> L’azzeramento sulla pietra per affilare garantisce una misurazione accurata dell’angolo tra la lama e la pietra.</w:t>
      </w:r>
    </w:p>
    <w:p w14:paraId="79E33042">
      <w:pPr>
        <w:spacing w:after="30"/>
        <w:rPr>
          <w:rFonts w:hint="default" w:asciiTheme="majorAscii" w:hAnsiTheme="majorAscii"/>
          <w:sz w:val="22"/>
          <w:szCs w:val="22"/>
        </w:rPr>
      </w:pPr>
      <w:r>
        <w:rPr>
          <w:rFonts w:hint="default" w:asciiTheme="majorAscii" w:hAnsiTheme="majorAscii"/>
          <w:sz w:val="22"/>
          <w:szCs w:val="22"/>
        </w:rPr>
        <w:t>Finché la posizione della pietra per affilare rimane invariata, non è necessario ripetere l’azzeramento durante l’uso.</w:t>
      </w:r>
    </w:p>
    <w:p w14:paraId="6EB2AF8C">
      <w:pPr>
        <w:spacing w:after="30"/>
        <w:rPr>
          <w:rFonts w:hint="default" w:asciiTheme="majorAscii" w:hAnsiTheme="majorAscii"/>
          <w:sz w:val="22"/>
          <w:szCs w:val="22"/>
        </w:rPr>
      </w:pPr>
      <w:r>
        <w:rPr>
          <w:rFonts w:hint="default" w:asciiTheme="majorAscii" w:hAnsiTheme="majorAscii"/>
          <w:sz w:val="22"/>
          <w:szCs w:val="22"/>
        </w:rPr>
        <w:t xml:space="preserve">2. Fissare magneticamente il dispositivo al lato rivolto verso l’alto della lama del coltello, assicurandosi che sia ben saldo. Assicurarsi che il filo di taglio sia parallelo al bordo lungo del dispositivo, con il display rivolto direttamente verso l’utente per una facile lettura. (Vedere </w:t>
      </w:r>
      <w:r>
        <w:rPr>
          <w:rFonts w:hint="default" w:eastAsia="宋体" w:asciiTheme="majorAscii" w:hAnsiTheme="majorAscii"/>
          <w:sz w:val="22"/>
          <w:szCs w:val="22"/>
          <w:lang w:val="en-US" w:eastAsia="zh-CN"/>
        </w:rPr>
        <w:t>l</w:t>
      </w:r>
      <w:r>
        <w:rPr>
          <w:rFonts w:hint="default" w:asciiTheme="majorAscii" w:hAnsiTheme="majorAscii"/>
          <w:sz w:val="22"/>
          <w:szCs w:val="22"/>
        </w:rPr>
        <w:t>a Fig.2-3)</w:t>
      </w:r>
    </w:p>
    <w:p w14:paraId="087B52F6">
      <w:pPr>
        <w:rPr>
          <w:rFonts w:hint="default" w:asciiTheme="majorAscii" w:hAnsiTheme="majorAscii"/>
          <w:sz w:val="22"/>
          <w:szCs w:val="22"/>
        </w:rPr>
      </w:pPr>
      <w:r>
        <w:rPr>
          <w:rFonts w:hint="default" w:asciiTheme="majorAscii" w:hAnsiTheme="majorAscii"/>
          <w:sz w:val="22"/>
          <w:szCs w:val="22"/>
        </w:rPr>
        <w:drawing>
          <wp:inline distT="0" distB="0" distL="114300" distR="114300">
            <wp:extent cx="4206240" cy="16751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4206240" cy="1675367"/>
                    </a:xfrm>
                    <a:prstGeom prst="rect">
                      <a:avLst/>
                    </a:prstGeom>
                  </pic:spPr>
                </pic:pic>
              </a:graphicData>
            </a:graphic>
          </wp:inline>
        </w:drawing>
      </w:r>
    </w:p>
    <w:p w14:paraId="5DF5ED41">
      <w:pPr>
        <w:spacing w:after="30"/>
        <w:rPr>
          <w:rFonts w:hint="default" w:asciiTheme="majorAscii" w:hAnsiTheme="majorAscii"/>
          <w:sz w:val="22"/>
          <w:szCs w:val="22"/>
        </w:rPr>
      </w:pPr>
      <w:r>
        <w:rPr>
          <w:rFonts w:hint="default" w:asciiTheme="majorAscii" w:hAnsiTheme="majorAscii"/>
          <w:b/>
          <w:sz w:val="22"/>
          <w:szCs w:val="22"/>
        </w:rPr>
        <w:t>Nota:</w:t>
      </w:r>
      <w:r>
        <w:rPr>
          <w:rFonts w:hint="default" w:asciiTheme="majorAscii" w:hAnsiTheme="majorAscii"/>
          <w:b w:val="0"/>
          <w:sz w:val="22"/>
          <w:szCs w:val="22"/>
        </w:rPr>
        <w:t xml:space="preserve"> Il giroscopio integrato tiene automaticamente conto della geometria della lama, quindi il valore visualizzato è l’angolo di affilatura. </w:t>
      </w:r>
      <w:r>
        <w:rPr>
          <w:rFonts w:hint="default" w:asciiTheme="majorAscii" w:hAnsiTheme="majorAscii"/>
          <w:b/>
          <w:sz w:val="22"/>
          <w:szCs w:val="22"/>
        </w:rPr>
        <w:t>NON È NECESSARIO</w:t>
      </w:r>
      <w:r>
        <w:rPr>
          <w:rFonts w:hint="default" w:asciiTheme="majorAscii" w:hAnsiTheme="majorAscii"/>
          <w:b w:val="0"/>
          <w:sz w:val="22"/>
          <w:szCs w:val="22"/>
        </w:rPr>
        <w:t xml:space="preserve"> calcolare o compensare separatamente l’angolo del dorso. Per affilare a 20°, regolare semplicemente la lama finché il display non indica 20°.</w:t>
      </w:r>
    </w:p>
    <w:p w14:paraId="0580786D">
      <w:pPr>
        <w:spacing w:after="30"/>
        <w:rPr>
          <w:rFonts w:hint="default" w:asciiTheme="majorAscii" w:hAnsiTheme="majorAscii"/>
          <w:sz w:val="22"/>
          <w:szCs w:val="22"/>
        </w:rPr>
      </w:pPr>
      <w:r>
        <w:rPr>
          <w:rFonts w:hint="default" w:asciiTheme="majorAscii" w:hAnsiTheme="majorAscii"/>
          <w:sz w:val="22"/>
          <w:szCs w:val="22"/>
        </w:rPr>
        <w:t xml:space="preserve">3. Posizionare la lama contro la pietra per affilare. Regolare la lama all’angolo di affilatura desiderato. (Vedere </w:t>
      </w:r>
      <w:r>
        <w:rPr>
          <w:rFonts w:hint="default" w:eastAsia="宋体" w:asciiTheme="majorAscii" w:hAnsiTheme="majorAscii"/>
          <w:sz w:val="22"/>
          <w:szCs w:val="22"/>
          <w:lang w:val="en-US" w:eastAsia="zh-CN"/>
        </w:rPr>
        <w:t>l</w:t>
      </w:r>
      <w:r>
        <w:rPr>
          <w:rFonts w:hint="default" w:asciiTheme="majorAscii" w:hAnsiTheme="majorAscii"/>
          <w:sz w:val="22"/>
          <w:szCs w:val="22"/>
        </w:rPr>
        <w:t>a Fig.2-3)</w:t>
      </w:r>
    </w:p>
    <w:p w14:paraId="055DA328">
      <w:pPr>
        <w:spacing w:after="30"/>
        <w:rPr>
          <w:rFonts w:hint="default" w:asciiTheme="majorAscii" w:hAnsiTheme="majorAscii"/>
          <w:sz w:val="22"/>
          <w:szCs w:val="22"/>
        </w:rPr>
      </w:pPr>
      <w:r>
        <w:rPr>
          <w:rFonts w:hint="default" w:asciiTheme="majorAscii" w:hAnsiTheme="majorAscii"/>
          <w:sz w:val="22"/>
          <w:szCs w:val="22"/>
        </w:rPr>
        <w:t>4. Mantenere la mano ferma durante l’affilatura e monitorare la lettura dell’angolo. Se l’angolo devia di oltre 1°, regolare leggermente la lama per tornare all’angolo di affilatura desiderato.</w:t>
      </w:r>
    </w:p>
    <w:p w14:paraId="3CA345F5">
      <w:pPr>
        <w:spacing w:after="30"/>
        <w:rPr>
          <w:rFonts w:hint="default" w:asciiTheme="majorAscii" w:hAnsiTheme="majorAscii"/>
          <w:b w:val="0"/>
          <w:sz w:val="22"/>
          <w:szCs w:val="22"/>
        </w:rPr>
      </w:pPr>
      <w:r>
        <w:rPr>
          <w:rFonts w:hint="default" w:asciiTheme="majorAscii" w:hAnsiTheme="majorAscii"/>
          <w:b/>
          <w:sz w:val="22"/>
          <w:szCs w:val="22"/>
        </w:rPr>
        <w:t>Nota:</w:t>
      </w:r>
      <w:r>
        <w:rPr>
          <w:rFonts w:hint="default" w:asciiTheme="majorAscii" w:hAnsiTheme="majorAscii"/>
          <w:b w:val="0"/>
          <w:sz w:val="22"/>
          <w:szCs w:val="22"/>
        </w:rPr>
        <w:t xml:space="preserve"> Piccole fluttuazioni nella lettura dell’angolo sono normali. Il dispositivo riflette il movimento della mano in tempo reale, invece di filtrare o calcolare la media dei dati. La fluttuazione di solito indica movimento della mano, non errore di misurazione. Concentrarsi sul mantenere un movimento stabile invece di inseguire un numero fisso.</w:t>
      </w:r>
    </w:p>
    <w:p w14:paraId="7FE4E509">
      <w:pPr>
        <w:spacing w:after="30"/>
        <w:rPr>
          <w:rFonts w:hint="default" w:asciiTheme="majorAscii" w:hAnsiTheme="majorAscii"/>
          <w:b w:val="0"/>
          <w:sz w:val="22"/>
          <w:szCs w:val="22"/>
        </w:rPr>
      </w:pPr>
    </w:p>
    <w:p w14:paraId="71B95492">
      <w:pPr>
        <w:spacing w:after="80"/>
        <w:rPr>
          <w:rFonts w:hint="default" w:asciiTheme="majorAscii" w:hAnsiTheme="majorAscii"/>
          <w:b w:val="0"/>
          <w:sz w:val="22"/>
          <w:szCs w:val="22"/>
        </w:rPr>
      </w:pPr>
      <w:r>
        <w:rPr>
          <w:rFonts w:hint="default" w:asciiTheme="majorAscii" w:hAnsiTheme="majorAscii"/>
          <w:b/>
          <w:sz w:val="22"/>
          <w:szCs w:val="22"/>
        </w:rPr>
        <w:t>Suggerimento:</w:t>
      </w:r>
      <w:r>
        <w:rPr>
          <w:rFonts w:hint="default" w:asciiTheme="majorAscii" w:hAnsiTheme="majorAscii"/>
          <w:b w:val="0"/>
          <w:sz w:val="22"/>
          <w:szCs w:val="22"/>
        </w:rPr>
        <w:t xml:space="preserve"> Durante l’affilatura della punta, la lettura dell’angolo può cambiare perché la geometria di contatto cambia quando la lama si curva. Questo è normale. Non cercare di seguire il numero che cambia; continuare con lo stesso movimento di affilatura e lo stesso angolo impostati in precedenza.</w:t>
      </w:r>
    </w:p>
    <w:p w14:paraId="500DBE6F">
      <w:pPr>
        <w:spacing w:after="80"/>
        <w:rPr>
          <w:rFonts w:hint="default" w:asciiTheme="majorAscii" w:hAnsiTheme="majorAscii"/>
          <w:b w:val="0"/>
          <w:sz w:val="22"/>
          <w:szCs w:val="22"/>
        </w:rPr>
      </w:pPr>
    </w:p>
    <w:p w14:paraId="5A3A6802">
      <w:pPr>
        <w:spacing w:before="120" w:after="80"/>
        <w:rPr>
          <w:rFonts w:hint="default" w:asciiTheme="majorAscii" w:hAnsiTheme="majorAscii"/>
          <w:sz w:val="22"/>
          <w:szCs w:val="22"/>
        </w:rPr>
      </w:pPr>
      <w:r>
        <w:rPr>
          <w:rFonts w:hint="default" w:asciiTheme="majorAscii" w:hAnsiTheme="majorAscii"/>
          <w:b/>
          <w:sz w:val="22"/>
          <w:szCs w:val="22"/>
        </w:rPr>
        <w:t>SOSTITUZIONE DELLA BATTERIA</w:t>
      </w:r>
    </w:p>
    <w:p w14:paraId="38226C8B">
      <w:pPr>
        <w:spacing w:after="30"/>
        <w:rPr>
          <w:rFonts w:hint="default" w:asciiTheme="majorAscii" w:hAnsiTheme="majorAscii"/>
          <w:sz w:val="22"/>
          <w:szCs w:val="22"/>
        </w:rPr>
      </w:pPr>
      <w:r>
        <w:rPr>
          <w:rFonts w:hint="default" w:asciiTheme="majorAscii" w:hAnsiTheme="majorAscii"/>
          <w:sz w:val="22"/>
          <w:szCs w:val="22"/>
        </w:rPr>
        <w:t>Sostituire la batteria quando il display diventa debole o difficile da leggere.</w:t>
      </w:r>
    </w:p>
    <w:p w14:paraId="3574CD03">
      <w:pPr>
        <w:spacing w:after="30"/>
        <w:rPr>
          <w:rFonts w:hint="default" w:asciiTheme="majorAscii" w:hAnsiTheme="majorAscii"/>
          <w:sz w:val="22"/>
          <w:szCs w:val="22"/>
        </w:rPr>
      </w:pPr>
      <w:r>
        <w:rPr>
          <w:rFonts w:hint="default" w:asciiTheme="majorAscii" w:hAnsiTheme="majorAscii"/>
          <w:sz w:val="22"/>
          <w:szCs w:val="22"/>
        </w:rPr>
        <w:t>Utilizzare esclusivamente una pila a bottone CR2450 (3V). Non utilizzare batterie ricaricabili.</w:t>
      </w:r>
    </w:p>
    <w:p w14:paraId="74EF9349">
      <w:pPr>
        <w:spacing w:after="30"/>
        <w:rPr>
          <w:rFonts w:hint="default" w:asciiTheme="majorAscii" w:hAnsiTheme="majorAscii"/>
          <w:sz w:val="22"/>
          <w:szCs w:val="22"/>
        </w:rPr>
      </w:pPr>
      <w:r>
        <w:rPr>
          <w:rFonts w:hint="default" w:asciiTheme="majorAscii" w:hAnsiTheme="majorAscii"/>
          <w:sz w:val="22"/>
          <w:szCs w:val="22"/>
        </w:rPr>
        <w:t>1. Spegnere il dispositivo.</w:t>
      </w:r>
    </w:p>
    <w:p w14:paraId="1614C45C">
      <w:pPr>
        <w:spacing w:after="30"/>
        <w:rPr>
          <w:rFonts w:hint="default" w:asciiTheme="majorAscii" w:hAnsiTheme="majorAscii"/>
          <w:sz w:val="22"/>
          <w:szCs w:val="22"/>
        </w:rPr>
      </w:pPr>
      <w:r>
        <w:rPr>
          <w:rFonts w:hint="default" w:asciiTheme="majorAscii" w:hAnsiTheme="majorAscii"/>
          <w:sz w:val="22"/>
          <w:szCs w:val="22"/>
        </w:rPr>
        <w:t>2. Rimuovere il cuscinetto in silicone.</w:t>
      </w:r>
    </w:p>
    <w:p w14:paraId="7D7A68BA">
      <w:pPr>
        <w:spacing w:after="30"/>
        <w:rPr>
          <w:rFonts w:hint="default" w:asciiTheme="majorAscii" w:hAnsiTheme="majorAscii"/>
          <w:sz w:val="22"/>
          <w:szCs w:val="22"/>
        </w:rPr>
      </w:pPr>
      <w:r>
        <w:rPr>
          <w:rFonts w:hint="default" w:asciiTheme="majorAscii" w:hAnsiTheme="majorAscii"/>
          <w:sz w:val="22"/>
          <w:szCs w:val="22"/>
        </w:rPr>
        <w:t>3. Rimuovere il coperchio della batteria utilizzando il cacciavite.</w:t>
      </w:r>
    </w:p>
    <w:p w14:paraId="1FA83497">
      <w:pPr>
        <w:spacing w:after="30"/>
        <w:rPr>
          <w:rFonts w:hint="default" w:asciiTheme="majorAscii" w:hAnsiTheme="majorAscii"/>
          <w:sz w:val="22"/>
          <w:szCs w:val="22"/>
        </w:rPr>
      </w:pPr>
      <w:r>
        <w:rPr>
          <w:rFonts w:hint="default" w:asciiTheme="majorAscii" w:hAnsiTheme="majorAscii"/>
          <w:sz w:val="22"/>
          <w:szCs w:val="22"/>
        </w:rPr>
        <w:t>4. Sostituirla con una pila a bottone CR2450 (3</w:t>
      </w:r>
      <w:bookmarkStart w:id="0" w:name="_GoBack"/>
      <w:bookmarkEnd w:id="0"/>
      <w:r>
        <w:rPr>
          <w:rFonts w:hint="default" w:asciiTheme="majorAscii" w:hAnsiTheme="majorAscii"/>
          <w:sz w:val="22"/>
          <w:szCs w:val="22"/>
        </w:rPr>
        <w:t>V), con il lato positivo (+) rivolto verso l’esterno.</w:t>
      </w:r>
    </w:p>
    <w:p w14:paraId="73C1D210">
      <w:pPr>
        <w:spacing w:after="30"/>
        <w:rPr>
          <w:rFonts w:hint="default" w:asciiTheme="majorAscii" w:hAnsiTheme="majorAscii"/>
          <w:sz w:val="22"/>
          <w:szCs w:val="22"/>
        </w:rPr>
      </w:pPr>
      <w:r>
        <w:rPr>
          <w:rFonts w:hint="default" w:asciiTheme="majorAscii" w:hAnsiTheme="majorAscii"/>
          <w:b/>
          <w:sz w:val="22"/>
          <w:szCs w:val="22"/>
        </w:rPr>
        <w:t>Suggerimento:</w:t>
      </w:r>
      <w:r>
        <w:rPr>
          <w:rFonts w:hint="default" w:asciiTheme="majorAscii" w:hAnsiTheme="majorAscii"/>
          <w:b w:val="0"/>
          <w:sz w:val="22"/>
          <w:szCs w:val="22"/>
        </w:rPr>
        <w:t xml:space="preserve"> Inserire la batteria premendola prima contro il contatto dorato. (Vedere </w:t>
      </w:r>
      <w:r>
        <w:rPr>
          <w:rFonts w:hint="default" w:eastAsia="宋体" w:asciiTheme="majorAscii" w:hAnsiTheme="majorAscii"/>
          <w:b w:val="0"/>
          <w:sz w:val="22"/>
          <w:szCs w:val="22"/>
          <w:lang w:val="en-US" w:eastAsia="zh-CN"/>
        </w:rPr>
        <w:t>l</w:t>
      </w:r>
      <w:r>
        <w:rPr>
          <w:rFonts w:hint="default" w:asciiTheme="majorAscii" w:hAnsiTheme="majorAscii"/>
          <w:b w:val="0"/>
          <w:sz w:val="22"/>
          <w:szCs w:val="22"/>
        </w:rPr>
        <w:t>a Fig.4)</w:t>
      </w:r>
    </w:p>
    <w:p w14:paraId="68FA91BB">
      <w:pPr>
        <w:spacing w:after="40"/>
        <w:rPr>
          <w:rFonts w:hint="default" w:asciiTheme="majorAscii" w:hAnsiTheme="majorAscii"/>
          <w:sz w:val="22"/>
          <w:szCs w:val="22"/>
        </w:rPr>
      </w:pPr>
      <w:r>
        <w:rPr>
          <w:rFonts w:hint="default" w:asciiTheme="majorAscii" w:hAnsiTheme="majorAscii"/>
          <w:sz w:val="22"/>
          <w:szCs w:val="22"/>
        </w:rPr>
        <w:t xml:space="preserve">5. Riposizionare il coperchio della batteria e il cuscinetto in silicone. (Vedere </w:t>
      </w:r>
      <w:r>
        <w:rPr>
          <w:rFonts w:hint="default" w:eastAsia="宋体" w:asciiTheme="majorAscii" w:hAnsiTheme="majorAscii"/>
          <w:sz w:val="22"/>
          <w:szCs w:val="22"/>
          <w:lang w:val="en-US" w:eastAsia="zh-CN"/>
        </w:rPr>
        <w:t>l</w:t>
      </w:r>
      <w:r>
        <w:rPr>
          <w:rFonts w:hint="default" w:asciiTheme="majorAscii" w:hAnsiTheme="majorAscii"/>
          <w:sz w:val="22"/>
          <w:szCs w:val="22"/>
        </w:rPr>
        <w:t>a Fig.5)</w:t>
      </w:r>
    </w:p>
    <w:p w14:paraId="15FAC3AC">
      <w:pPr>
        <w:rPr>
          <w:rFonts w:hint="default" w:asciiTheme="majorAscii" w:hAnsiTheme="majorAscii"/>
          <w:sz w:val="22"/>
          <w:szCs w:val="22"/>
        </w:rPr>
      </w:pPr>
      <w:r>
        <w:rPr>
          <w:rFonts w:hint="default" w:asciiTheme="majorAscii" w:hAnsiTheme="majorAscii"/>
          <w:sz w:val="22"/>
          <w:szCs w:val="22"/>
        </w:rPr>
        <w:drawing>
          <wp:inline distT="0" distB="0" distL="114300" distR="114300">
            <wp:extent cx="1920240" cy="1751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1920240" cy="1751798"/>
                    </a:xfrm>
                    <a:prstGeom prst="rect">
                      <a:avLst/>
                    </a:prstGeom>
                  </pic:spPr>
                </pic:pic>
              </a:graphicData>
            </a:graphic>
          </wp:inline>
        </w:drawing>
      </w:r>
      <w:r>
        <w:rPr>
          <w:rFonts w:hint="default" w:asciiTheme="majorAscii" w:hAnsiTheme="majorAscii"/>
          <w:sz w:val="22"/>
          <w:szCs w:val="22"/>
        </w:rPr>
        <w:t xml:space="preserve">  </w:t>
      </w:r>
      <w:r>
        <w:rPr>
          <w:rFonts w:hint="default" w:asciiTheme="majorAscii" w:hAnsiTheme="majorAscii"/>
          <w:sz w:val="22"/>
          <w:szCs w:val="22"/>
        </w:rPr>
        <w:drawing>
          <wp:inline distT="0" distB="0" distL="114300" distR="114300">
            <wp:extent cx="1920240" cy="1757045"/>
            <wp:effectExtent l="0" t="0" r="0"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tretch>
                      <a:fillRect/>
                    </a:stretch>
                  </pic:blipFill>
                  <pic:spPr>
                    <a:xfrm>
                      <a:off x="0" y="0"/>
                      <a:ext cx="1920240" cy="1757311"/>
                    </a:xfrm>
                    <a:prstGeom prst="rect">
                      <a:avLst/>
                    </a:prstGeom>
                  </pic:spPr>
                </pic:pic>
              </a:graphicData>
            </a:graphic>
          </wp:inline>
        </w:drawing>
      </w:r>
    </w:p>
    <w:p w14:paraId="480714F9">
      <w:pPr>
        <w:rPr>
          <w:rFonts w:hint="default" w:asciiTheme="majorAscii" w:hAnsiTheme="majorAscii"/>
          <w:sz w:val="22"/>
          <w:szCs w:val="22"/>
        </w:rPr>
      </w:pPr>
    </w:p>
    <w:p w14:paraId="30AD4EC0">
      <w:pPr>
        <w:spacing w:before="120" w:after="80"/>
        <w:rPr>
          <w:rFonts w:hint="default" w:asciiTheme="majorAscii" w:hAnsiTheme="majorAscii"/>
          <w:sz w:val="22"/>
          <w:szCs w:val="22"/>
        </w:rPr>
      </w:pPr>
      <w:r>
        <w:rPr>
          <w:rFonts w:hint="default" w:asciiTheme="majorAscii" w:hAnsiTheme="majorAscii"/>
          <w:b/>
          <w:sz w:val="22"/>
          <w:szCs w:val="22"/>
        </w:rPr>
        <w:t>MANUTENZIONE</w:t>
      </w:r>
    </w:p>
    <w:p w14:paraId="308C4C99">
      <w:pPr>
        <w:spacing w:after="30"/>
        <w:rPr>
          <w:rFonts w:hint="default" w:asciiTheme="majorAscii" w:hAnsiTheme="majorAscii"/>
          <w:sz w:val="22"/>
          <w:szCs w:val="22"/>
        </w:rPr>
      </w:pPr>
      <w:r>
        <w:rPr>
          <w:rFonts w:hint="default" w:asciiTheme="majorAscii" w:hAnsiTheme="majorAscii"/>
          <w:sz w:val="22"/>
          <w:szCs w:val="22"/>
        </w:rPr>
        <w:t>1. Pulire con un panno asciutto. Usare un panno leggermente umido per rimuovere le particelle metalliche, se necessario.</w:t>
      </w:r>
    </w:p>
    <w:p w14:paraId="4706B46C">
      <w:pPr>
        <w:spacing w:after="30"/>
        <w:rPr>
          <w:rFonts w:hint="default" w:asciiTheme="majorAscii" w:hAnsiTheme="majorAscii"/>
          <w:sz w:val="22"/>
          <w:szCs w:val="22"/>
        </w:rPr>
      </w:pPr>
      <w:r>
        <w:rPr>
          <w:rFonts w:hint="default" w:asciiTheme="majorAscii" w:hAnsiTheme="majorAscii"/>
          <w:sz w:val="22"/>
          <w:szCs w:val="22"/>
        </w:rPr>
        <w:t>2. Se particelle metalliche o residui di affilatura si accumulano sul cuscinetto in silicone, rimuoverlo per la pulizia. Risciacquarlo e asciugarlo completamente prima di rimetterlo in posizione.</w:t>
      </w:r>
    </w:p>
    <w:p w14:paraId="3D21EB8C">
      <w:pPr>
        <w:spacing w:after="30"/>
        <w:rPr>
          <w:rFonts w:hint="default" w:asciiTheme="majorAscii" w:hAnsiTheme="majorAscii"/>
          <w:sz w:val="22"/>
          <w:szCs w:val="22"/>
        </w:rPr>
      </w:pPr>
      <w:r>
        <w:rPr>
          <w:rFonts w:hint="default" w:asciiTheme="majorAscii" w:hAnsiTheme="majorAscii"/>
          <w:sz w:val="22"/>
          <w:szCs w:val="22"/>
        </w:rPr>
        <w:t>3. Rimuovere la batteria se il dispositivo non viene utilizzato per un periodo prolungato.</w:t>
      </w:r>
    </w:p>
    <w:p w14:paraId="7F400AA7">
      <w:pPr>
        <w:spacing w:after="80"/>
        <w:rPr>
          <w:rFonts w:hint="default" w:asciiTheme="majorAscii" w:hAnsiTheme="majorAscii"/>
          <w:sz w:val="22"/>
          <w:szCs w:val="22"/>
        </w:rPr>
      </w:pPr>
      <w:r>
        <w:rPr>
          <w:rFonts w:hint="default" w:asciiTheme="majorAscii" w:hAnsiTheme="majorAscii"/>
          <w:sz w:val="22"/>
          <w:szCs w:val="22"/>
        </w:rPr>
        <w:t>4. Conservare in un luogo asciutto. Evitare temperature elevate e umidità.</w:t>
      </w:r>
    </w:p>
    <w:p w14:paraId="6B7DBA7F">
      <w:pPr>
        <w:spacing w:after="80"/>
        <w:rPr>
          <w:rFonts w:hint="default" w:asciiTheme="majorAscii" w:hAnsiTheme="majorAscii"/>
          <w:b w:val="0"/>
          <w:sz w:val="22"/>
          <w:szCs w:val="22"/>
        </w:rPr>
      </w:pPr>
      <w:r>
        <w:rPr>
          <w:rFonts w:hint="default" w:asciiTheme="majorAscii" w:hAnsiTheme="majorAscii"/>
          <w:b/>
          <w:sz w:val="22"/>
          <w:szCs w:val="22"/>
        </w:rPr>
        <w:t>AVVERTENZA MAGNETICA:</w:t>
      </w:r>
      <w:r>
        <w:rPr>
          <w:rFonts w:hint="default" w:asciiTheme="majorAscii" w:hAnsiTheme="majorAscii"/>
          <w:b w:val="0"/>
          <w:sz w:val="22"/>
          <w:szCs w:val="22"/>
        </w:rPr>
        <w:t xml:space="preserve"> Questo prodotto contiene magneti. Tenere lontano da pacemaker, carte di credito, orologi meccanici e altri dispositivi sensibili ai campi magnetici.</w:t>
      </w:r>
    </w:p>
    <w:p w14:paraId="1EC8BAD1">
      <w:pPr>
        <w:spacing w:after="80"/>
        <w:rPr>
          <w:rFonts w:hint="default" w:asciiTheme="majorAscii" w:hAnsiTheme="majorAscii"/>
          <w:b w:val="0"/>
          <w:sz w:val="22"/>
          <w:szCs w:val="22"/>
        </w:rPr>
      </w:pPr>
    </w:p>
    <w:p w14:paraId="56ECE2BE">
      <w:pPr>
        <w:spacing w:after="30"/>
        <w:rPr>
          <w:rFonts w:hint="default" w:asciiTheme="majorAscii" w:hAnsiTheme="majorAscii"/>
          <w:sz w:val="22"/>
          <w:szCs w:val="22"/>
        </w:rPr>
      </w:pPr>
      <w:r>
        <w:rPr>
          <w:rFonts w:hint="default" w:asciiTheme="majorAscii" w:hAnsiTheme="majorAscii"/>
          <w:sz w:val="22"/>
          <w:szCs w:val="22"/>
        </w:rPr>
        <w:t>*Guarda il video dimostrativo su YouTube:</w:t>
      </w:r>
    </w:p>
    <w:p w14:paraId="4D80F552">
      <w:pPr>
        <w:spacing w:after="80"/>
        <w:rPr>
          <w:rFonts w:hint="default" w:asciiTheme="majorAscii" w:hAnsiTheme="majorAscii"/>
          <w:sz w:val="22"/>
          <w:szCs w:val="22"/>
        </w:rPr>
      </w:pPr>
      <w:r>
        <w:rPr>
          <w:rFonts w:hint="default" w:asciiTheme="majorAscii" w:hAnsiTheme="majorAscii"/>
          <w:sz w:val="22"/>
          <w:szCs w:val="22"/>
        </w:rPr>
        <w:t>Oppure scansiona il codice QR</w:t>
      </w:r>
    </w:p>
    <w:p w14:paraId="4D4E7D14">
      <w:pPr>
        <w:spacing w:after="80"/>
        <w:rPr>
          <w:rFonts w:hint="default" w:asciiTheme="majorAscii" w:hAnsiTheme="majorAscii"/>
          <w:sz w:val="22"/>
          <w:szCs w:val="22"/>
        </w:rPr>
      </w:pPr>
    </w:p>
    <w:p w14:paraId="097A90E9">
      <w:pPr>
        <w:spacing w:after="30"/>
        <w:rPr>
          <w:rFonts w:hint="default" w:asciiTheme="majorAscii" w:hAnsiTheme="majorAscii"/>
          <w:sz w:val="22"/>
          <w:szCs w:val="22"/>
        </w:rPr>
      </w:pPr>
      <w:r>
        <w:rPr>
          <w:rFonts w:hint="default" w:asciiTheme="majorAscii" w:hAnsiTheme="majorAscii"/>
          <w:sz w:val="22"/>
          <w:szCs w:val="22"/>
        </w:rPr>
        <w:t>*Ogni prodotto SHARPAL è garantito contro difetti di materiali e lavorazione</w:t>
      </w:r>
    </w:p>
    <w:p w14:paraId="6FECC32D">
      <w:pPr>
        <w:spacing w:after="30"/>
        <w:rPr>
          <w:rFonts w:hint="default" w:asciiTheme="majorAscii" w:hAnsiTheme="majorAscii"/>
          <w:sz w:val="22"/>
          <w:szCs w:val="22"/>
        </w:rPr>
      </w:pPr>
      <w:r>
        <w:rPr>
          <w:rFonts w:hint="default" w:asciiTheme="majorAscii" w:hAnsiTheme="majorAscii"/>
          <w:b w:val="0"/>
          <w:sz w:val="22"/>
          <w:szCs w:val="22"/>
        </w:rPr>
        <w:t xml:space="preserve">per </w:t>
      </w:r>
      <w:r>
        <w:rPr>
          <w:rFonts w:hint="default" w:asciiTheme="majorAscii" w:hAnsiTheme="majorAscii"/>
          <w:b/>
          <w:sz w:val="22"/>
          <w:szCs w:val="22"/>
        </w:rPr>
        <w:t>3 anni</w:t>
      </w:r>
      <w:r>
        <w:rPr>
          <w:rFonts w:hint="default" w:asciiTheme="majorAscii" w:hAnsiTheme="majorAscii"/>
          <w:b w:val="0"/>
          <w:sz w:val="22"/>
          <w:szCs w:val="22"/>
        </w:rPr>
        <w:t xml:space="preserve"> dalla data di acquisto in condizioni di normale usura, ad eccezione dei danni</w:t>
      </w:r>
    </w:p>
    <w:p w14:paraId="62A58EF0">
      <w:pPr>
        <w:spacing w:after="30"/>
        <w:rPr>
          <w:rFonts w:hint="default" w:asciiTheme="majorAscii" w:hAnsiTheme="majorAscii"/>
          <w:sz w:val="22"/>
          <w:szCs w:val="22"/>
        </w:rPr>
      </w:pPr>
      <w:r>
        <w:rPr>
          <w:rFonts w:hint="default" w:asciiTheme="majorAscii" w:hAnsiTheme="majorAscii"/>
          <w:sz w:val="22"/>
          <w:szCs w:val="22"/>
        </w:rPr>
        <w:t>causati da uso improprio o modifiche. QUESTA GARANZIA SI APPLICA SOLO A USO NON INDUSTRIALE O</w:t>
      </w:r>
    </w:p>
    <w:p w14:paraId="67897B4C">
      <w:pPr>
        <w:spacing w:after="30"/>
        <w:rPr>
          <w:rFonts w:hint="default" w:asciiTheme="majorAscii" w:hAnsiTheme="majorAscii"/>
          <w:sz w:val="22"/>
          <w:szCs w:val="22"/>
        </w:rPr>
      </w:pPr>
      <w:r>
        <w:rPr>
          <w:rFonts w:hint="default" w:asciiTheme="majorAscii" w:hAnsiTheme="majorAscii"/>
          <w:sz w:val="22"/>
          <w:szCs w:val="22"/>
        </w:rPr>
        <w:t>NON COMMERCIALE. Se si desidera presentare una richiesta di garanzia, contattarci tramite</w:t>
      </w:r>
    </w:p>
    <w:p w14:paraId="5CAB8CAD">
      <w:pPr>
        <w:spacing w:after="30"/>
        <w:rPr>
          <w:rFonts w:hint="default" w:asciiTheme="majorAscii" w:hAnsiTheme="majorAscii"/>
          <w:sz w:val="22"/>
          <w:szCs w:val="22"/>
        </w:rPr>
      </w:pPr>
      <w:r>
        <w:rPr>
          <w:rFonts w:hint="default" w:asciiTheme="majorAscii" w:hAnsiTheme="majorAscii"/>
          <w:sz w:val="22"/>
          <w:szCs w:val="22"/>
        </w:rPr>
        <w:t xml:space="preserve">il sito web SHARPAL o inviare direttamente un’e-mail a </w:t>
      </w:r>
      <w:r>
        <w:rPr>
          <w:rFonts w:hint="default" w:asciiTheme="majorAscii" w:hAnsiTheme="majorAscii"/>
          <w:sz w:val="22"/>
          <w:szCs w:val="22"/>
          <w:u w:val="single"/>
        </w:rPr>
        <w:t>warranty@sharpal.com.</w:t>
      </w:r>
    </w:p>
    <w:sectPr>
      <w:pgSz w:w="12240" w:h="15840"/>
      <w:pgMar w:top="504" w:right="648" w:bottom="504" w:left="64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ABF0150"/>
    <w:rsid w:val="196D0DC0"/>
    <w:rsid w:val="2D815D81"/>
    <w:rsid w:val="2E9A4AF0"/>
    <w:rsid w:val="35AA1662"/>
    <w:rsid w:val="674D3793"/>
    <w:rsid w:val="677E6496"/>
    <w:rsid w:val="6D48513C"/>
    <w:rsid w:val="7EE92B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Arial" w:hAnsi="Arial" w:eastAsiaTheme="minorEastAsia" w:cstheme="minorBidi"/>
      <w:sz w:val="19"/>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1301</Words>
  <Characters>7439</Characters>
  <Lines>0</Lines>
  <Paragraphs>0</Paragraphs>
  <TotalTime>0</TotalTime>
  <ScaleCrop>false</ScaleCrop>
  <LinksUpToDate>false</LinksUpToDate>
  <CharactersWithSpaces>8715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WPS_1492138145</cp:lastModifiedBy>
  <dcterms:modified xsi:type="dcterms:W3CDTF">2026-06-05T07:35:00Z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eyJoZGlkIjoiOWMzYTBiMmQ5Nzk5ZDMxZmJlMWM1ZDZlMThiMThmOGEiLCJ1c2VySWQiOiIyNzQ3NDY2NTQifQ==</vt:lpwstr>
  </property>
  <property fmtid="{D5CDD505-2E9C-101B-9397-08002B2CF9AE}" pid="3" name="KSOProductBuildVer">
    <vt:lpwstr>2052-12.1.0.26895</vt:lpwstr>
  </property>
  <property fmtid="{D5CDD505-2E9C-101B-9397-08002B2CF9AE}" pid="4" name="ICV">
    <vt:lpwstr>A41222FBD61C4DADB866ECE11FBA374D_12</vt:lpwstr>
  </property>
</Properties>
</file>