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D6A2C">
      <w:pPr>
        <w:jc w:val="left"/>
        <w:rPr>
          <w:rFonts w:cstheme="minorHAnsi"/>
          <w:sz w:val="22"/>
          <w:szCs w:val="22"/>
          <w:highlight w:val="none"/>
        </w:rPr>
      </w:pPr>
      <w:r>
        <w:rPr>
          <w:b/>
        </w:rPr>
        <w:t>PL</w:t>
      </w:r>
      <w:r>
        <w:t xml:space="preserve">                                                                               </w:t>
      </w:r>
      <w:r>
        <w:rPr>
          <w:rFonts w:hint="eastAsia" w:eastAsia="宋体"/>
          <w:lang w:val="en-US" w:eastAsia="zh-CN"/>
        </w:rPr>
        <w:t xml:space="preserve">  </w:t>
      </w:r>
      <w:r>
        <w:t xml:space="preserve"> </w:t>
      </w:r>
      <w:r>
        <w:rPr>
          <w:rFonts w:hint="eastAsia"/>
          <w:b/>
          <w:sz w:val="22"/>
          <w:szCs w:val="22"/>
        </w:rPr>
        <w:t>Nr artykułu</w:t>
      </w:r>
      <w:r>
        <w:rPr>
          <w:rFonts w:hint="eastAsia" w:eastAsia="宋体"/>
          <w:b/>
          <w:sz w:val="22"/>
          <w:szCs w:val="22"/>
          <w:lang w:val="en-US" w:eastAsia="zh-CN"/>
        </w:rPr>
        <w:t xml:space="preserve"> </w:t>
      </w:r>
      <w:r>
        <w:rPr>
          <w:rFonts w:hint="eastAsia"/>
          <w:b/>
          <w:sz w:val="22"/>
          <w:szCs w:val="22"/>
          <w:lang w:val="en-US" w:eastAsia="zh-CN"/>
        </w:rPr>
        <w:t>195H</w:t>
      </w:r>
    </w:p>
    <w:p w14:paraId="7760227D">
      <w:pPr>
        <w:jc w:val="center"/>
        <w:rPr>
          <w:rFonts w:cstheme="minorHAnsi"/>
          <w:sz w:val="22"/>
          <w:szCs w:val="22"/>
          <w:highlight w:val="none"/>
        </w:rPr>
      </w:pPr>
      <w:r>
        <w:rPr>
          <w:b/>
        </w:rPr>
        <w:t>Instrukcja obsługi</w:t>
      </w:r>
    </w:p>
    <w:p w14:paraId="10AE8E0E">
      <w:pPr>
        <w:rPr>
          <w:rFonts w:cstheme="minorHAnsi"/>
          <w:b/>
          <w:bCs/>
          <w:sz w:val="22"/>
          <w:szCs w:val="22"/>
        </w:rPr>
      </w:pPr>
      <w:r>
        <w:rPr>
          <w:b/>
        </w:rPr>
        <w:t>⚠ OSTRZEŻENIE</w:t>
      </w:r>
    </w:p>
    <w:p w14:paraId="6A9D006C">
      <w:pPr>
        <w:rPr>
          <w:rFonts w:cstheme="minorHAnsi"/>
          <w:sz w:val="22"/>
          <w:szCs w:val="22"/>
        </w:rPr>
      </w:pPr>
      <w:r>
        <w:t>• Typ baterii: CR2450</w:t>
      </w:r>
    </w:p>
    <w:p w14:paraId="30BABF1D">
      <w:pPr>
        <w:rPr>
          <w:rFonts w:cstheme="minorHAnsi"/>
          <w:sz w:val="22"/>
          <w:szCs w:val="22"/>
        </w:rPr>
      </w:pPr>
      <w:r>
        <w:t>• Napięcie nominalne: 3V</w:t>
      </w:r>
    </w:p>
    <w:p w14:paraId="520F8B2A">
      <w:pPr>
        <w:rPr>
          <w:rFonts w:cstheme="minorHAnsi"/>
          <w:sz w:val="22"/>
          <w:szCs w:val="22"/>
        </w:rPr>
      </w:pPr>
      <w:r>
        <w:t xml:space="preserve">• </w:t>
      </w:r>
      <w:r>
        <w:rPr>
          <w:b/>
        </w:rPr>
        <w:t>RYZYKO POŁKNIĘCIA</w:t>
      </w:r>
      <w:r>
        <w:t>: Ten produkt zawiera baterię guzikową lub baterię pastylkową.</w:t>
      </w:r>
    </w:p>
    <w:p w14:paraId="67CDD558">
      <w:pPr>
        <w:rPr>
          <w:rFonts w:cstheme="minorHAnsi"/>
          <w:sz w:val="22"/>
          <w:szCs w:val="22"/>
        </w:rPr>
      </w:pPr>
      <w:r>
        <w:t xml:space="preserve">• </w:t>
      </w:r>
      <w:r>
        <w:rPr>
          <w:b/>
        </w:rPr>
        <w:t>ŚMIERĆ</w:t>
      </w:r>
      <w:r>
        <w:t xml:space="preserve"> lub poważne obrażenia mogą wystąpić w przypadku połknięcia.</w:t>
      </w:r>
    </w:p>
    <w:p w14:paraId="51F06B45">
      <w:pPr>
        <w:rPr>
          <w:rFonts w:cstheme="minorHAnsi"/>
          <w:sz w:val="22"/>
          <w:szCs w:val="22"/>
        </w:rPr>
      </w:pPr>
      <w:r>
        <w:t xml:space="preserve">• Połknięta bateria guzikowa lub pastylkowa może spowodować </w:t>
      </w:r>
      <w:r>
        <w:rPr>
          <w:b/>
        </w:rPr>
        <w:t>wewnętrzne oparzenia chemiczne</w:t>
      </w:r>
      <w:r>
        <w:t xml:space="preserve"> w zaledwie </w:t>
      </w:r>
      <w:r>
        <w:rPr>
          <w:b/>
        </w:rPr>
        <w:t>2 godziny</w:t>
      </w:r>
      <w:r>
        <w:t>.</w:t>
      </w:r>
    </w:p>
    <w:p w14:paraId="3466549E">
      <w:pPr>
        <w:rPr>
          <w:rFonts w:hint="eastAsia" w:eastAsia="宋体" w:cstheme="minorHAnsi"/>
          <w:b/>
          <w:bCs/>
          <w:sz w:val="22"/>
          <w:szCs w:val="22"/>
          <w:lang w:val="en-US" w:eastAsia="zh-CN"/>
        </w:rPr>
      </w:pPr>
      <w:r>
        <w:t xml:space="preserve">• </w:t>
      </w:r>
      <w:r>
        <w:rPr>
          <w:b/>
        </w:rPr>
        <w:t>PRZECHOWYWAĆ</w:t>
      </w:r>
      <w:r>
        <w:t xml:space="preserve"> nowe i zużyte baterie </w:t>
      </w:r>
      <w:r>
        <w:rPr>
          <w:b/>
        </w:rPr>
        <w:t>POZA ZASIĘGIEM DZIECI</w:t>
      </w:r>
      <w:r>
        <w:t>.</w:t>
      </w:r>
    </w:p>
    <w:p w14:paraId="0D8E9EB2">
      <w:pPr>
        <w:rPr>
          <w:rFonts w:cstheme="minorHAnsi"/>
          <w:sz w:val="22"/>
          <w:szCs w:val="22"/>
        </w:rPr>
      </w:pPr>
      <w:r>
        <w:t xml:space="preserve">• </w:t>
      </w:r>
      <w:r>
        <w:rPr>
          <w:b/>
        </w:rPr>
        <w:t>Natychmiast zwrócić się o pomoc medyczną</w:t>
      </w:r>
      <w:r>
        <w:t xml:space="preserve"> w przypadku podejrzenia połknięcia baterii lub włożenia jej do jakiejkolwiek części ciała.</w:t>
      </w:r>
    </w:p>
    <w:p w14:paraId="26E7E043">
      <w:pPr>
        <w:rPr>
          <w:rFonts w:cstheme="minorHAnsi"/>
          <w:sz w:val="22"/>
          <w:szCs w:val="22"/>
        </w:rPr>
      </w:pPr>
      <w:r>
        <w:t>a) Wyjąć i natychmiast poddać recyklingowi lub zutylizować zużyte baterie zgodnie z lokalnymi przepisami</w:t>
      </w:r>
      <w:r>
        <w:rPr>
          <w:rFonts w:hint="eastAsia" w:eastAsia="宋体"/>
          <w:lang w:val="en-US" w:eastAsia="zh-CN"/>
        </w:rPr>
        <w:t xml:space="preserve"> </w:t>
      </w:r>
      <w:r>
        <w:t>oraz przechowywać poza zasięgiem dzieci. NIE wyrzucać baterii do odpadów domowych ani ich nie spalać.</w:t>
      </w:r>
    </w:p>
    <w:p w14:paraId="6D6AE488">
      <w:pPr>
        <w:rPr>
          <w:rFonts w:cstheme="minorHAnsi"/>
          <w:sz w:val="22"/>
          <w:szCs w:val="22"/>
        </w:rPr>
      </w:pPr>
      <w:r>
        <w:t>b) Nawet zużyte baterie mogą spowodować poważne obrażenia lub śmierć.</w:t>
      </w:r>
    </w:p>
    <w:p w14:paraId="77622B7C">
      <w:pPr>
        <w:rPr>
          <w:rFonts w:cstheme="minorHAnsi"/>
          <w:sz w:val="22"/>
          <w:szCs w:val="22"/>
        </w:rPr>
      </w:pPr>
      <w:r>
        <w:t>c) Skontaktować się z lokalnym centrum kontroli zatruć w celu uzyskania informacji dotyczących leczenia.</w:t>
      </w:r>
    </w:p>
    <w:p w14:paraId="47AC65ED">
      <w:pPr>
        <w:rPr>
          <w:rFonts w:cstheme="minorHAnsi"/>
          <w:sz w:val="22"/>
          <w:szCs w:val="22"/>
        </w:rPr>
      </w:pPr>
      <w:r>
        <w:t>d) Baterii jednorazowych nie wolno ponownie ładować.</w:t>
      </w:r>
      <w:bookmarkStart w:id="3" w:name="_GoBack"/>
      <w:bookmarkEnd w:id="3"/>
    </w:p>
    <w:p w14:paraId="4B301016">
      <w:pPr>
        <w:rPr>
          <w:rFonts w:cstheme="minorHAnsi"/>
          <w:sz w:val="22"/>
          <w:szCs w:val="22"/>
        </w:rPr>
      </w:pPr>
      <w:r>
        <w:t>e) Nie wymuszać rozładowania, nie ładować, nie demontować, nie podgrzewać powyżej temperatury określonej przez producenta ani nie spalać. Może to spowodować obrażenia wskutek odpowietrzenia, wycieku lub wybuchu, prowadzące do oparzeń chemicznych.</w:t>
      </w:r>
    </w:p>
    <w:p w14:paraId="1C70C4F9">
      <w:pPr>
        <w:rPr>
          <w:rFonts w:cstheme="minorHAnsi"/>
          <w:sz w:val="22"/>
          <w:szCs w:val="22"/>
        </w:rPr>
      </w:pPr>
      <w:r>
        <w:t>f) Upewnić się, że baterie są zainstalowane prawidłowo zgodnie z biegunowością (+ i -).</w:t>
      </w:r>
    </w:p>
    <w:p w14:paraId="39BE42D1">
      <w:pPr>
        <w:rPr>
          <w:rFonts w:cstheme="minorHAnsi"/>
          <w:sz w:val="22"/>
          <w:szCs w:val="22"/>
        </w:rPr>
      </w:pPr>
      <w:r>
        <w:t>g) Nie mieszać starych i nowych baterii, baterii różnych marek ani różnych typów, takich jak baterie alkaliczne, cynkowo-węglowe lub akumulatorowe.</w:t>
      </w:r>
    </w:p>
    <w:p w14:paraId="004DBEC5">
      <w:pPr>
        <w:rPr>
          <w:rFonts w:cstheme="minorHAnsi"/>
          <w:sz w:val="22"/>
          <w:szCs w:val="22"/>
        </w:rPr>
      </w:pPr>
      <w:r>
        <w:t>h) Wyjąć i natychmiast poddać recyklingowi lub zutylizować baterie z urządzenia, które nie będzie używane przez dłuższy czas, zgodnie z lokalnymi przepisami.</w:t>
      </w:r>
    </w:p>
    <w:p w14:paraId="1EB49931">
      <w:pPr>
        <w:rPr>
          <w:rFonts w:cstheme="minorHAnsi"/>
          <w:sz w:val="22"/>
          <w:szCs w:val="22"/>
        </w:rPr>
      </w:pPr>
      <w:r>
        <w:t>i) Zawsze dokładnie zabezpieczyć komorę baterii. Jeśli komora baterii nie zamyka się bezpiecznie, zaprzestać używania produktu, wyjąć baterie i przechowywać je poza zasięgiem dzieci.</w:t>
      </w:r>
    </w:p>
    <w:p w14:paraId="7883CD76">
      <w:pPr>
        <w:rPr>
          <w:rFonts w:cstheme="minorHAnsi"/>
          <w:b/>
          <w:bCs/>
          <w:sz w:val="22"/>
          <w:szCs w:val="22"/>
          <w:highlight w:val="none"/>
        </w:rPr>
      </w:pPr>
    </w:p>
    <w:p w14:paraId="0940CA82">
      <w:pPr>
        <w:rPr>
          <w:rFonts w:cstheme="minorHAnsi"/>
          <w:sz w:val="22"/>
          <w:szCs w:val="22"/>
          <w:highlight w:val="none"/>
        </w:rPr>
      </w:pPr>
      <w:r>
        <w:rPr>
          <w:b/>
        </w:rPr>
        <w:t>DANE TECHNICZNE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F49C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6801998">
            <w:r>
              <w:t>Dokładność</w:t>
            </w:r>
          </w:p>
        </w:tc>
        <w:tc>
          <w:tcPr>
            <w:tcW w:w="4261" w:type="dxa"/>
          </w:tcPr>
          <w:p w14:paraId="7744B1BB">
            <w:r>
              <w:t>±1° (w typowych warunkach ostrzenia)</w:t>
            </w:r>
          </w:p>
        </w:tc>
      </w:tr>
      <w:tr w14:paraId="4D58E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26883A57">
            <w:r>
              <w:t>Rozdzielczość</w:t>
            </w:r>
          </w:p>
        </w:tc>
        <w:tc>
          <w:tcPr>
            <w:tcW w:w="4261" w:type="dxa"/>
          </w:tcPr>
          <w:p w14:paraId="3DC3F466">
            <w:r>
              <w:t>1°</w:t>
            </w:r>
          </w:p>
        </w:tc>
      </w:tr>
      <w:tr w14:paraId="30855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39423AC">
            <w:r>
              <w:t>Zakres pomiaru</w:t>
            </w:r>
          </w:p>
        </w:tc>
        <w:tc>
          <w:tcPr>
            <w:tcW w:w="4261" w:type="dxa"/>
          </w:tcPr>
          <w:p w14:paraId="318754C6">
            <w:r>
              <w:t xml:space="preserve">0 - 80° </w:t>
            </w:r>
          </w:p>
        </w:tc>
      </w:tr>
      <w:tr w14:paraId="110BF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93BA456">
            <w:r>
              <w:t>Bateria</w:t>
            </w:r>
          </w:p>
        </w:tc>
        <w:tc>
          <w:tcPr>
            <w:tcW w:w="4261" w:type="dxa"/>
          </w:tcPr>
          <w:p w14:paraId="260CFE6E">
            <w:r>
              <w:t>CR2450 3V (wymienna, 1 zapasowa w zestawie)</w:t>
            </w:r>
          </w:p>
        </w:tc>
      </w:tr>
      <w:tr w14:paraId="4C12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727CA89">
            <w:r>
              <w:t>Śrubokręt</w:t>
            </w:r>
          </w:p>
        </w:tc>
        <w:tc>
          <w:tcPr>
            <w:tcW w:w="4261" w:type="dxa"/>
          </w:tcPr>
          <w:p w14:paraId="1A3DA994">
            <w:r>
              <w:t>W zestawie</w:t>
            </w:r>
          </w:p>
        </w:tc>
      </w:tr>
      <w:tr w14:paraId="4BAB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5306411">
            <w:r>
              <w:t>Stopień ochrony</w:t>
            </w:r>
          </w:p>
        </w:tc>
        <w:tc>
          <w:tcPr>
            <w:tcW w:w="4261" w:type="dxa"/>
          </w:tcPr>
          <w:p w14:paraId="583A1A36">
            <w:r>
              <w:t>IP54</w:t>
            </w:r>
          </w:p>
        </w:tc>
      </w:tr>
      <w:tr w14:paraId="18D5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74039E6">
            <w:r>
              <w:t>Temperatura pracy</w:t>
            </w:r>
          </w:p>
        </w:tc>
        <w:tc>
          <w:tcPr>
            <w:tcW w:w="4261" w:type="dxa"/>
          </w:tcPr>
          <w:p w14:paraId="5E498E68">
            <w:r>
              <w:t>32°F - 104°F (0°C - 40°C)</w:t>
            </w:r>
          </w:p>
        </w:tc>
      </w:tr>
    </w:tbl>
    <w:p w14:paraId="203524E1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  <w:r>
        <w:rPr>
          <w:b/>
        </w:rPr>
        <w:t xml:space="preserve">Uwaga: </w:t>
      </w:r>
      <w:r>
        <w:t>To urządzenie jest przeznaczone do użycia podczas rzeczywistego ostrzenia, a nie do pomiaru statycznego.</w:t>
      </w:r>
    </w:p>
    <w:p w14:paraId="31D47F5D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</w:p>
    <w:p w14:paraId="4026F265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  <w:r>
        <w:t>W typowych warunkach ostrzenia, na przykład przy użyciu kamienia ostrzącego 8"x 3" ( 203 x 76 mm ) przy kontrolowanej prędkości (poniżej 30 ruchów tam i z powrotem na minutę), wahania kąta można utrzymać w zakresie ±1°.</w:t>
      </w:r>
    </w:p>
    <w:p w14:paraId="312DDDD7">
      <w:pPr>
        <w:widowControl/>
        <w:jc w:val="left"/>
        <w:rPr>
          <w:rFonts w:eastAsia="宋体" w:cstheme="minorHAnsi"/>
          <w:b/>
          <w:bCs/>
          <w:kern w:val="0"/>
          <w:sz w:val="22"/>
          <w:szCs w:val="22"/>
          <w:highlight w:val="none"/>
          <w:lang w:bidi="ar"/>
        </w:rPr>
      </w:pPr>
    </w:p>
    <w:p w14:paraId="05A0FA58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rPr>
          <w:b/>
        </w:rPr>
        <w:t>PRZEGLĄD PRODUKTU</w:t>
      </w:r>
    </w:p>
    <w:p w14:paraId="0BB0A4BD">
      <w:pPr>
        <w:widowControl/>
        <w:jc w:val="left"/>
        <w:rPr>
          <w:rFonts w:eastAsia="等线" w:cstheme="minorHAnsi"/>
          <w:kern w:val="0"/>
          <w:sz w:val="22"/>
          <w:szCs w:val="22"/>
          <w:highlight w:val="none"/>
        </w:rPr>
      </w:pPr>
      <w:r>
        <w:t>Ten cyfrowy trener kąta ostrzenia jest przeznaczony jako narzędzie treningowe do ostrzenia, a nie jako tradycyjne precyzyjne urządzenie pomiarowe.</w:t>
      </w:r>
    </w:p>
    <w:p w14:paraId="12ACA4EE">
      <w:pPr>
        <w:widowControl/>
        <w:jc w:val="left"/>
        <w:rPr>
          <w:rFonts w:eastAsia="等线" w:cstheme="minorHAnsi"/>
          <w:kern w:val="0"/>
          <w:sz w:val="22"/>
          <w:szCs w:val="22"/>
          <w:highlight w:val="none"/>
        </w:rPr>
      </w:pPr>
      <w:r>
        <w:t>Jest przeznaczony do użycia podczas rzeczywistych ruchów ostrzenia, aby pomóc użytkownikom wypracować stałą kontrolę dłoni i pamięć mięśniową.</w:t>
      </w:r>
    </w:p>
    <w:p w14:paraId="043FEFC5">
      <w:pPr>
        <w:widowControl/>
        <w:jc w:val="left"/>
        <w:rPr>
          <w:rFonts w:eastAsia="等线" w:cstheme="minorHAnsi"/>
          <w:kern w:val="0"/>
          <w:sz w:val="22"/>
          <w:szCs w:val="22"/>
          <w:highlight w:val="none"/>
        </w:rPr>
      </w:pPr>
      <w:r>
        <w:t>Podczas ostrzenia konsekwencja jest ważniejsza niż bezwzględna precyzja liczbowa. Utrzymanie stabilnego kąta w zakresie ±1° zwykle daje lepsze rezultaty niż próba utrzymania dokładnego, stałego odczytu.</w:t>
      </w:r>
    </w:p>
    <w:p w14:paraId="23DDF99D">
      <w:pPr>
        <w:widowControl/>
        <w:jc w:val="left"/>
        <w:rPr>
          <w:rFonts w:eastAsia="等线" w:cstheme="minorHAnsi"/>
          <w:kern w:val="0"/>
          <w:sz w:val="22"/>
          <w:szCs w:val="22"/>
          <w:highlight w:val="none"/>
        </w:rPr>
      </w:pPr>
      <w:r>
        <w:t xml:space="preserve">Aby uzyskać najlepszą stabilność, używać na ostrzach </w:t>
      </w:r>
      <w:r>
        <w:rPr>
          <w:b/>
        </w:rPr>
        <w:t>szerszych niż 0.55 cala ( 14 mm ).</w:t>
      </w:r>
    </w:p>
    <w:p w14:paraId="15BDB37C">
      <w:pPr>
        <w:widowControl/>
        <w:jc w:val="left"/>
        <w:rPr>
          <w:rFonts w:eastAsia="等线" w:cstheme="minorHAnsi"/>
          <w:kern w:val="0"/>
          <w:sz w:val="22"/>
          <w:szCs w:val="22"/>
          <w:highlight w:val="none"/>
        </w:rPr>
      </w:pPr>
      <w:r>
        <w:t>Ostrza węższe niż 0.55 cala ( 14 mm ) mogą nie zapewniać wystarczającej powierzchni styku, co może wpływać na stabilność i prowadzić do mniej spójnych odczytów.</w:t>
      </w:r>
    </w:p>
    <w:p w14:paraId="299B5F69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</w:p>
    <w:p w14:paraId="48A7FDEF">
      <w:pPr>
        <w:widowControl/>
        <w:jc w:val="left"/>
        <w:textAlignment w:val="center"/>
        <w:rPr>
          <w:rFonts w:eastAsia="等线" w:cstheme="minorHAnsi"/>
          <w:b/>
          <w:bCs/>
          <w:kern w:val="0"/>
          <w:sz w:val="22"/>
          <w:szCs w:val="22"/>
          <w:highlight w:val="none"/>
        </w:rPr>
      </w:pPr>
      <w:r>
        <w:rPr>
          <w:b/>
        </w:rPr>
        <w:t>ZALECENIE DOTYCZĄCE PRĘDKOŚCI</w:t>
      </w:r>
    </w:p>
    <w:p w14:paraId="6FC59BE7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t>Podczas używania kamienia ostrzącego 8"x 3" ( 203 x 76 mm ) utrzymywać prędkość ostrzenia poniżej 30 ruchów tam i z powrotem na minutę.</w:t>
      </w:r>
    </w:p>
    <w:p w14:paraId="0AFAE435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t>Wolniejszy i bardziej kontrolowany ruch poprawia stabilność kąta.</w:t>
      </w:r>
    </w:p>
    <w:p w14:paraId="56117F53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t>Szybszy ruch zwiększa wahania wywołane pracą dłoni i powoduje większe wahania odczytu.</w:t>
      </w:r>
    </w:p>
    <w:p w14:paraId="784E6439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t>Skupić się na wolnych, stabilnych i równomiernych ruchach.</w:t>
      </w:r>
    </w:p>
    <w:p w14:paraId="7267CD13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</w:p>
    <w:p w14:paraId="305804C9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rPr>
          <w:b/>
        </w:rPr>
        <w:t>ZROZUMIENIE ODCZYTÓW KĄTA</w:t>
      </w:r>
    </w:p>
    <w:p w14:paraId="3BBC57A8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t>• To urządzenie pokazuje zmiany kąta w czasie rzeczywistym podczas ostrzenia.</w:t>
      </w:r>
    </w:p>
    <w:p w14:paraId="437B8A31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t>• Nie blokuje ani nie stabilizuje odczytu jak statyczne narzędzie pomiarowe.</w:t>
      </w:r>
    </w:p>
    <w:p w14:paraId="7571628C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t>• Niewielkie odchylenia są normalne.</w:t>
      </w:r>
    </w:p>
    <w:p w14:paraId="19DE9284">
      <w:pPr>
        <w:widowControl/>
        <w:jc w:val="left"/>
        <w:textAlignment w:val="center"/>
        <w:rPr>
          <w:rFonts w:eastAsia="等线" w:cstheme="minorHAnsi"/>
          <w:kern w:val="0"/>
          <w:sz w:val="22"/>
          <w:szCs w:val="22"/>
          <w:highlight w:val="none"/>
        </w:rPr>
      </w:pPr>
      <w:r>
        <w:t>• Celem jest utrzymanie stałego zakresu ( ±1° ), a nie jednej stałej liczby.</w:t>
      </w:r>
    </w:p>
    <w:p w14:paraId="0AA79CF6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</w:p>
    <w:p w14:paraId="5B3D3606">
      <w:pPr>
        <w:widowControl/>
        <w:jc w:val="left"/>
        <w:rPr>
          <w:rFonts w:eastAsia="宋体" w:cstheme="minorHAnsi"/>
          <w:b/>
          <w:bCs/>
          <w:kern w:val="0"/>
          <w:sz w:val="22"/>
          <w:szCs w:val="22"/>
          <w:highlight w:val="none"/>
        </w:rPr>
      </w:pPr>
      <w:r>
        <w:rPr>
          <w:b/>
        </w:rPr>
        <w:t>ZALECANE KĄTY OSTRZENIA</w:t>
      </w:r>
    </w:p>
    <w:tbl>
      <w:tblPr>
        <w:tblStyle w:val="4"/>
        <w:tblW w:w="8719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9"/>
        <w:gridCol w:w="2190"/>
      </w:tblGrid>
      <w:tr w14:paraId="0FCFA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484F79"/>
            <w:vAlign w:val="bottom"/>
          </w:tcPr>
          <w:p w14:paraId="7E1A3E8F">
            <w:r>
              <w:rPr>
                <w:b/>
                <w:bCs/>
              </w:rPr>
              <w:t>Typ noża lub narzędzia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484F79"/>
            <w:vAlign w:val="bottom"/>
          </w:tcPr>
          <w:p w14:paraId="4EF25F5C">
            <w:r>
              <w:rPr>
                <w:b/>
                <w:bCs/>
              </w:rPr>
              <w:t>Typowy kąt</w:t>
            </w:r>
          </w:p>
        </w:tc>
      </w:tr>
      <w:tr w14:paraId="52152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1E6ECF">
            <w:r>
              <w:t>Tasak/Maczeta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09E7A0">
            <w:r>
              <w:t>25 - 30 stopni</w:t>
            </w:r>
          </w:p>
        </w:tc>
      </w:tr>
      <w:tr w14:paraId="2F4B9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5F5F5"/>
            <w:vAlign w:val="center"/>
          </w:tcPr>
          <w:p w14:paraId="517205DA">
            <w:r>
              <w:t xml:space="preserve">Noże myśliwskie/kieszonkowe/survivalowe/sportowe 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5F5F5"/>
            <w:vAlign w:val="center"/>
          </w:tcPr>
          <w:p w14:paraId="53E1E2EF">
            <w:r>
              <w:t>20 - 25 stopni</w:t>
            </w:r>
          </w:p>
        </w:tc>
      </w:tr>
      <w:tr w14:paraId="23A16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F835C">
            <w:r>
              <w:t>Noże szefa kuchni/kuchenne/mniejsze/do trybowania/do krojenia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6F650B">
            <w:r>
              <w:t>17 - 22 stopnie</w:t>
            </w:r>
          </w:p>
        </w:tc>
      </w:tr>
      <w:tr w14:paraId="71171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5F5F5"/>
            <w:vAlign w:val="center"/>
          </w:tcPr>
          <w:p w14:paraId="3D63287A">
            <w:r>
              <w:t>Noże do filetowania/do obierania/do sushi/</w:t>
            </w:r>
            <w:r>
              <w:br w:type="textWrapping"/>
            </w:r>
            <w:r>
              <w:t>większość japońskich noży kuchennych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5F5F5"/>
            <w:vAlign w:val="center"/>
          </w:tcPr>
          <w:p w14:paraId="28760197">
            <w:r>
              <w:t>12 - 17 stopni</w:t>
            </w:r>
          </w:p>
        </w:tc>
      </w:tr>
    </w:tbl>
    <w:p w14:paraId="1DB8E986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</w:p>
    <w:p w14:paraId="59E38522">
      <w:pPr>
        <w:widowControl/>
        <w:jc w:val="left"/>
        <w:rPr>
          <w:rFonts w:eastAsia="宋体" w:cstheme="minorHAnsi"/>
          <w:b/>
          <w:bCs/>
          <w:kern w:val="0"/>
          <w:sz w:val="22"/>
          <w:szCs w:val="22"/>
          <w:highlight w:val="none"/>
        </w:rPr>
      </w:pPr>
      <w:r>
        <w:rPr>
          <w:b/>
        </w:rPr>
        <w:t>DIAGRAM FUNKCJONALNY</w:t>
      </w:r>
    </w:p>
    <w:p w14:paraId="08773FD3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rPr>
          <w:rFonts w:cstheme="minorHAnsi"/>
          <w:sz w:val="22"/>
          <w:szCs w:val="22"/>
          <w:highlight w:val="none"/>
        </w:rPr>
        <w:drawing>
          <wp:inline distT="0" distB="0" distL="114300" distR="114300">
            <wp:extent cx="2830830" cy="1234440"/>
            <wp:effectExtent l="0" t="0" r="3810" b="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8264A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t>ZASILANIE</w:t>
      </w:r>
    </w:p>
    <w:p w14:paraId="3C41DE44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t>ZERO/RESETOWANIE</w:t>
      </w:r>
    </w:p>
    <w:p w14:paraId="45F8BA6F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t>WYŚWIETLACZ LCD</w:t>
      </w:r>
    </w:p>
    <w:p w14:paraId="72150518">
      <w:pPr>
        <w:widowControl/>
        <w:jc w:val="left"/>
        <w:textAlignment w:val="center"/>
        <w:rPr>
          <w:rFonts w:cstheme="minorHAnsi"/>
          <w:b/>
          <w:bCs/>
          <w:sz w:val="22"/>
          <w:szCs w:val="22"/>
          <w:highlight w:val="none"/>
        </w:rPr>
      </w:pPr>
      <w:r>
        <w:t>PODSTAWA MAGNETYCZNA</w:t>
      </w:r>
    </w:p>
    <w:p w14:paraId="2B716294">
      <w:pPr>
        <w:widowControl/>
        <w:jc w:val="left"/>
        <w:rPr>
          <w:rFonts w:cstheme="minorHAnsi"/>
          <w:b/>
          <w:bCs/>
          <w:sz w:val="22"/>
          <w:szCs w:val="22"/>
          <w:highlight w:val="none"/>
        </w:rPr>
      </w:pPr>
    </w:p>
    <w:p w14:paraId="193649C2">
      <w:pPr>
        <w:widowControl/>
        <w:jc w:val="left"/>
        <w:rPr>
          <w:rFonts w:eastAsia="宋体" w:cstheme="minorHAnsi"/>
          <w:b/>
          <w:bCs/>
          <w:kern w:val="0"/>
          <w:sz w:val="22"/>
          <w:szCs w:val="22"/>
          <w:highlight w:val="none"/>
        </w:rPr>
      </w:pPr>
      <w:r>
        <w:rPr>
          <w:b/>
        </w:rPr>
        <w:t>WŁĄCZANIE / WYŁĄCZANIE</w:t>
      </w:r>
    </w:p>
    <w:p w14:paraId="52B8633A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rPr>
          <w:b/>
        </w:rPr>
        <w:t xml:space="preserve">Włączanie: </w:t>
      </w:r>
      <w:r>
        <w:t>Nacisnąć przycisk zasilania, aby włączyć urządzenie.</w:t>
      </w:r>
    </w:p>
    <w:p w14:paraId="19078F08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rPr>
          <w:b/>
        </w:rPr>
        <w:t xml:space="preserve">Wyłączanie: </w:t>
      </w:r>
      <w:r>
        <w:t xml:space="preserve">Nacisnąć i przytrzymać przycisk zasilania przez 1-2 sekundy, aby wyłączyć urządzenie. </w:t>
      </w:r>
    </w:p>
    <w:p w14:paraId="5206D410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rPr>
          <w:b/>
        </w:rPr>
        <w:t>Uwaga:</w:t>
      </w:r>
      <w:r>
        <w:t xml:space="preserve"> Po włączeniu urządzenia wyświetlany kąt może początkowo wydawać się wyższy, a następnie stopniowo maleć. </w:t>
      </w:r>
    </w:p>
    <w:p w14:paraId="6B023F74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t xml:space="preserve">Jest to normalne i oznacza, że wbudowany czujnik wykonuje </w:t>
      </w:r>
      <w:r>
        <w:rPr>
          <w:b/>
        </w:rPr>
        <w:t>automatyczną kalibrację zerową</w:t>
      </w:r>
      <w:r>
        <w:t>.</w:t>
      </w:r>
    </w:p>
    <w:p w14:paraId="23BFCC45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</w:p>
    <w:p w14:paraId="40237228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rPr>
          <w:b/>
        </w:rPr>
        <w:t xml:space="preserve">INSTRUKCJA UŻYCIA </w:t>
      </w:r>
    </w:p>
    <w:p w14:paraId="507DF9A4">
      <w:pPr>
        <w:pStyle w:val="8"/>
        <w:widowControl/>
        <w:numPr>
          <w:ilvl w:val="0"/>
          <w:numId w:val="1"/>
        </w:numPr>
        <w:ind w:firstLineChars="0"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t>Umieścić urządzenie na kamieniu ostrzącym. Nacisnąć przycisk ZERO i pozostawić urządzenie nieruchomo przez około 2 - 3 sekundy w celu kalibracji. Podnieść urządzenie i ponownie umieścić je na kamieniu, aby potwierdzić, że odczyt wraca do zera. Jeśli odczyt nie wraca do zera, powtórzyć proces kalibracji.</w:t>
      </w:r>
    </w:p>
    <w:p w14:paraId="0BDEF53A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rPr>
          <w:b/>
        </w:rPr>
        <w:t>Uwaga:</w:t>
      </w:r>
      <w:r>
        <w:t xml:space="preserve"> Zerowanie na kamieniu ostrzącym zapewnia dokładny pomiar kąta między ostrzem a kamieniem.</w:t>
      </w:r>
    </w:p>
    <w:p w14:paraId="58DC2471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t xml:space="preserve">Dopóki położenie kamienia ostrzącego pozostaje niezmienione, ponowne zerowanie podczas użycia nie jest wymagane. </w:t>
      </w:r>
    </w:p>
    <w:p w14:paraId="106EE296">
      <w:pPr>
        <w:pStyle w:val="8"/>
        <w:widowControl/>
        <w:numPr>
          <w:ilvl w:val="0"/>
          <w:numId w:val="1"/>
        </w:numPr>
        <w:ind w:firstLineChars="0"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bookmarkStart w:id="0" w:name="OLE_LINK1"/>
      <w:bookmarkEnd w:id="0"/>
      <w:r>
        <w:t>Przymocować urządzenie magnetycznie do skierowanej ku górze strony ostrza noża, upewniając się, że jest pewnie zamocowane. Upewnić się, że krawędź tnąca jest równoległa do długiej krawędzi urządzenia, a wyświetlacz jest skierowany bezpośrednio do użytkownika, aby ułatwić odczyt. (Zob. Fig.2-3)</w:t>
      </w:r>
    </w:p>
    <w:p w14:paraId="14F7BF95">
      <w:pPr>
        <w:widowControl/>
        <w:jc w:val="left"/>
        <w:rPr>
          <w:rFonts w:cstheme="minorHAnsi"/>
          <w:b/>
          <w:bCs/>
          <w:sz w:val="22"/>
          <w:szCs w:val="22"/>
          <w:highlight w:val="none"/>
        </w:rPr>
      </w:pPr>
      <w:r>
        <w:rPr>
          <w:rFonts w:cstheme="minorHAnsi"/>
          <w:sz w:val="22"/>
          <w:szCs w:val="22"/>
          <w:highlight w:val="none"/>
        </w:rPr>
        <w:drawing>
          <wp:inline distT="0" distB="0" distL="114300" distR="114300">
            <wp:extent cx="3928745" cy="1565275"/>
            <wp:effectExtent l="0" t="0" r="5080" b="635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8745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BC094">
      <w:pPr>
        <w:widowControl/>
        <w:jc w:val="left"/>
        <w:rPr>
          <w:rFonts w:hint="eastAsia" w:eastAsia="宋体" w:cstheme="minorHAnsi"/>
          <w:kern w:val="0"/>
          <w:sz w:val="22"/>
          <w:szCs w:val="22"/>
          <w:highlight w:val="none"/>
        </w:rPr>
      </w:pPr>
      <w:r>
        <w:rPr>
          <w:b/>
        </w:rPr>
        <w:t>Uwaga:</w:t>
      </w:r>
      <w:r>
        <w:t xml:space="preserve"> Wbudowany żyroskop automatycznie uwzględnia geometrię ostrza, dlatego wyświetlana wartość jest kątem ostrzenia. </w:t>
      </w:r>
      <w:r>
        <w:rPr>
          <w:b/>
        </w:rPr>
        <w:t>NIE MA POTRZEBY</w:t>
      </w:r>
      <w:r>
        <w:t xml:space="preserve"> osobno obliczać ani kompensować kąta grzbietu ostrza. Aby ostrzyć pod kątem 20°, wystarczy ustawić ostrze tak, aby wyświetlacz wskazywał 20°.</w:t>
      </w:r>
    </w:p>
    <w:p w14:paraId="1AEA06D4">
      <w:pPr>
        <w:pStyle w:val="8"/>
        <w:widowControl/>
        <w:numPr>
          <w:ilvl w:val="0"/>
          <w:numId w:val="1"/>
        </w:numPr>
        <w:ind w:firstLineChars="0"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t>Umieścić ostrze na kamieniu ostrzącym. Ustawić ostrze pod żądanym kątem ostrzenia. (Zob. Fig.2-3)</w:t>
      </w:r>
    </w:p>
    <w:p w14:paraId="744898A6">
      <w:pPr>
        <w:pStyle w:val="8"/>
        <w:widowControl/>
        <w:numPr>
          <w:ilvl w:val="0"/>
          <w:numId w:val="1"/>
        </w:numPr>
        <w:ind w:firstLineChars="0"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t>Utrzymywać stabilną dłoń podczas ostrzenia i obserwować odczyt kąta. Jeśli kąt odchyli się o więcej niż 1°, lekko skorygować położenie ostrza, aby powrócić do żądanego kąta ostrzenia.</w:t>
      </w:r>
    </w:p>
    <w:p w14:paraId="20151B82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r>
        <w:rPr>
          <w:b/>
        </w:rPr>
        <w:t>Uwaga</w:t>
      </w:r>
      <w:r>
        <w:t>: Niewielkie wahania odczytu kąta są normalne. Urządzenie odzwierciedla ruch dłoni w czasie rzeczywistym, zamiast filtrować lub uśredniać dane. Wahania zwykle wskazują na ruch dłoni, a nie na błąd pomiaru. Skupić się na utrzymaniu płynnego ruchu, zamiast próbować uzyskać jedną stałą liczbę.</w:t>
      </w:r>
    </w:p>
    <w:p w14:paraId="64CCFFCC">
      <w:pPr>
        <w:widowControl/>
        <w:jc w:val="left"/>
        <w:rPr>
          <w:rFonts w:eastAsia="宋体" w:cstheme="minorHAnsi"/>
          <w:b/>
          <w:bCs/>
          <w:kern w:val="0"/>
          <w:sz w:val="22"/>
          <w:szCs w:val="22"/>
          <w:highlight w:val="none"/>
        </w:rPr>
      </w:pPr>
    </w:p>
    <w:p w14:paraId="277E3071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</w:rPr>
      </w:pPr>
      <w:bookmarkStart w:id="1" w:name="OLE_LINK2"/>
      <w:r>
        <w:rPr>
          <w:b/>
        </w:rPr>
        <w:t>Wskazówka</w:t>
      </w:r>
      <w:r>
        <w:t>: Podczas ostrzenia czubka odczyt kąta może się zmieniać, ponieważ geometria kontaktu zmienia się wraz z krzywizną ostrza. Jest to normalne. Nie należy śledzić zmieniającej się liczby; kontynuować ten sam ruch ostrzenia i wcześniej ustawiony kąt.</w:t>
      </w:r>
    </w:p>
    <w:bookmarkEnd w:id="1"/>
    <w:p w14:paraId="2F153824">
      <w:pPr>
        <w:widowControl/>
        <w:jc w:val="left"/>
        <w:rPr>
          <w:rFonts w:eastAsia="宋体" w:cstheme="minorHAnsi"/>
          <w:sz w:val="22"/>
          <w:szCs w:val="22"/>
          <w:highlight w:val="none"/>
        </w:rPr>
      </w:pPr>
    </w:p>
    <w:p w14:paraId="0FDA68FC">
      <w:pPr>
        <w:rPr>
          <w:rFonts w:cstheme="minorHAnsi"/>
          <w:sz w:val="22"/>
          <w:szCs w:val="22"/>
          <w:highlight w:val="none"/>
        </w:rPr>
      </w:pPr>
      <w:r>
        <w:rPr>
          <w:b/>
        </w:rPr>
        <w:t>WYMIANA BATERII</w:t>
      </w:r>
    </w:p>
    <w:p w14:paraId="48FA5606">
      <w:pPr>
        <w:rPr>
          <w:rFonts w:eastAsia="宋体" w:cstheme="minorHAnsi"/>
          <w:sz w:val="22"/>
          <w:szCs w:val="22"/>
          <w:highlight w:val="none"/>
        </w:rPr>
      </w:pPr>
      <w:r>
        <w:t>Wymienić baterię, gdy wyświetlacz stanie się przyciemniony lub trudny do odczytania.</w:t>
      </w:r>
    </w:p>
    <w:p w14:paraId="44C27305">
      <w:pPr>
        <w:rPr>
          <w:rFonts w:cstheme="minorHAnsi"/>
          <w:sz w:val="22"/>
          <w:szCs w:val="22"/>
          <w:highlight w:val="none"/>
        </w:rPr>
      </w:pPr>
      <w:r>
        <w:t>Używać wyłącznie baterii pastylkowej CR2450 (3V). Nie używać akumulatorów.</w:t>
      </w:r>
    </w:p>
    <w:p w14:paraId="72C354F7">
      <w:pPr>
        <w:rPr>
          <w:rFonts w:cstheme="minorHAnsi"/>
          <w:sz w:val="22"/>
          <w:szCs w:val="22"/>
          <w:highlight w:val="none"/>
        </w:rPr>
      </w:pPr>
      <w:r>
        <w:t xml:space="preserve">1. Wyłączyć urządzenie.  </w:t>
      </w:r>
    </w:p>
    <w:p w14:paraId="4A9F72E1">
      <w:pPr>
        <w:rPr>
          <w:rFonts w:cstheme="minorHAnsi"/>
          <w:sz w:val="22"/>
          <w:szCs w:val="22"/>
          <w:highlight w:val="none"/>
        </w:rPr>
      </w:pPr>
      <w:r>
        <w:t xml:space="preserve">2. Zdjąć podkładkę silikonową.  </w:t>
      </w:r>
    </w:p>
    <w:p w14:paraId="6206F1FC">
      <w:pPr>
        <w:rPr>
          <w:rFonts w:cstheme="minorHAnsi"/>
          <w:sz w:val="22"/>
          <w:szCs w:val="22"/>
          <w:highlight w:val="none"/>
        </w:rPr>
      </w:pPr>
      <w:r>
        <w:t xml:space="preserve">3. Zdjąć pokrywę baterii za pomocą śrubokręta.  </w:t>
      </w:r>
    </w:p>
    <w:p w14:paraId="3F7E3EFE">
      <w:pPr>
        <w:rPr>
          <w:rFonts w:cstheme="minorHAnsi"/>
          <w:sz w:val="22"/>
          <w:szCs w:val="22"/>
          <w:highlight w:val="none"/>
        </w:rPr>
      </w:pPr>
      <w:r>
        <w:t xml:space="preserve">4. Włożyć jedną baterię pastylkową CR2450 (3V), stroną dodatnią (+) skierowaną na zewnątrz.  </w:t>
      </w:r>
    </w:p>
    <w:p w14:paraId="69436612">
      <w:pPr>
        <w:rPr>
          <w:rFonts w:cstheme="minorHAnsi"/>
          <w:sz w:val="22"/>
          <w:szCs w:val="22"/>
          <w:highlight w:val="none"/>
        </w:rPr>
      </w:pPr>
      <w:r>
        <w:rPr>
          <w:b/>
        </w:rPr>
        <w:t>Wskazówka:</w:t>
      </w:r>
      <w:r>
        <w:t xml:space="preserve"> Włożyć baterię, najpierw dociskając ją do złoconego styku. (Zob. Fig.4)</w:t>
      </w:r>
    </w:p>
    <w:p w14:paraId="59AFAB89">
      <w:pPr>
        <w:rPr>
          <w:rFonts w:eastAsia="宋体" w:cstheme="minorHAnsi"/>
          <w:sz w:val="22"/>
          <w:szCs w:val="22"/>
          <w:highlight w:val="none"/>
        </w:rPr>
      </w:pPr>
      <w:r>
        <w:t>5. Założyć pokrywę baterii i podkładkę silikonową. (Zob. Fig.5)</w:t>
      </w:r>
    </w:p>
    <w:p w14:paraId="43548F4B">
      <w:pPr>
        <w:rPr>
          <w:rFonts w:eastAsia="宋体" w:cstheme="minorHAnsi"/>
          <w:sz w:val="22"/>
          <w:szCs w:val="22"/>
          <w:highlight w:val="none"/>
        </w:rPr>
      </w:pPr>
    </w:p>
    <w:p w14:paraId="1E0A1900">
      <w:pPr>
        <w:rPr>
          <w:rFonts w:cstheme="minorHAnsi"/>
          <w:sz w:val="22"/>
          <w:szCs w:val="22"/>
          <w:highlight w:val="none"/>
        </w:rPr>
      </w:pPr>
      <w:r>
        <w:rPr>
          <w:rFonts w:cstheme="minorHAnsi"/>
          <w:sz w:val="22"/>
          <w:szCs w:val="22"/>
          <w:highlight w:val="none"/>
        </w:rPr>
        <w:drawing>
          <wp:inline distT="0" distB="0" distL="114300" distR="114300">
            <wp:extent cx="2020570" cy="1843405"/>
            <wp:effectExtent l="0" t="0" r="8255" b="444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2"/>
          <w:szCs w:val="22"/>
          <w:highlight w:val="none"/>
        </w:rPr>
        <w:drawing>
          <wp:inline distT="0" distB="0" distL="114300" distR="114300">
            <wp:extent cx="1957705" cy="1791970"/>
            <wp:effectExtent l="0" t="0" r="4445" b="825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F0665">
      <w:pPr>
        <w:rPr>
          <w:rFonts w:cstheme="minorHAnsi"/>
          <w:sz w:val="22"/>
          <w:szCs w:val="22"/>
          <w:highlight w:val="none"/>
        </w:rPr>
      </w:pPr>
    </w:p>
    <w:p w14:paraId="2CB4F662">
      <w:pPr>
        <w:widowControl/>
        <w:jc w:val="left"/>
        <w:rPr>
          <w:rFonts w:eastAsia="宋体" w:cstheme="minorHAnsi"/>
          <w:b/>
          <w:bCs/>
          <w:kern w:val="0"/>
          <w:sz w:val="22"/>
          <w:szCs w:val="22"/>
          <w:highlight w:val="none"/>
          <w:lang w:bidi="ar"/>
        </w:rPr>
      </w:pPr>
      <w:r>
        <w:rPr>
          <w:b/>
        </w:rPr>
        <w:t>KONSERWACJA</w:t>
      </w:r>
    </w:p>
    <w:p w14:paraId="355CCF18">
      <w:pPr>
        <w:pStyle w:val="8"/>
        <w:widowControl/>
        <w:numPr>
          <w:ilvl w:val="0"/>
          <w:numId w:val="2"/>
        </w:numPr>
        <w:ind w:firstLineChars="0"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  <w:r>
        <w:t>Przetrzeć suchą szmatką. W razie potrzeby użyć lekko wilgotnej szmatki, aby usunąć cząstki metalu.</w:t>
      </w:r>
    </w:p>
    <w:p w14:paraId="44818CC2">
      <w:pPr>
        <w:pStyle w:val="8"/>
        <w:widowControl/>
        <w:numPr>
          <w:ilvl w:val="0"/>
          <w:numId w:val="2"/>
        </w:numPr>
        <w:ind w:firstLineChars="0"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  <w:bookmarkStart w:id="2" w:name="OLE_LINK3"/>
      <w:r>
        <w:t>Jeśli cząstki metalu lub pozostałości po ostrzeniu nagromadzą się na podkładce silikonowej, zdjąć ją do czyszczenia. Opłukać i całkowicie wysuszyć przed ponownym założeniem.</w:t>
      </w:r>
    </w:p>
    <w:bookmarkEnd w:id="2"/>
    <w:p w14:paraId="3901BB6E">
      <w:pPr>
        <w:pStyle w:val="8"/>
        <w:widowControl/>
        <w:numPr>
          <w:ilvl w:val="0"/>
          <w:numId w:val="2"/>
        </w:numPr>
        <w:ind w:firstLineChars="0"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  <w:r>
        <w:t>Wyjąć baterię, jeśli urządzenie nie będzie używane przez dłuższy czas.</w:t>
      </w:r>
    </w:p>
    <w:p w14:paraId="12803358">
      <w:pPr>
        <w:pStyle w:val="8"/>
        <w:widowControl/>
        <w:numPr>
          <w:ilvl w:val="0"/>
          <w:numId w:val="2"/>
        </w:numPr>
        <w:ind w:firstLineChars="0"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  <w:r>
        <w:t>Przechowywać w suchym miejscu. Unikać wysokiej temperatury i wilgoci.</w:t>
      </w:r>
    </w:p>
    <w:p w14:paraId="5B3E7C47">
      <w:pPr>
        <w:rPr>
          <w:rFonts w:eastAsia="宋体" w:cstheme="minorHAnsi"/>
          <w:sz w:val="22"/>
          <w:szCs w:val="22"/>
          <w:highlight w:val="none"/>
        </w:rPr>
      </w:pPr>
    </w:p>
    <w:p w14:paraId="07328A4F">
      <w:pPr>
        <w:rPr>
          <w:rFonts w:eastAsia="宋体" w:cstheme="minorHAnsi"/>
          <w:sz w:val="22"/>
          <w:szCs w:val="22"/>
          <w:highlight w:val="none"/>
        </w:rPr>
      </w:pPr>
      <w:r>
        <w:rPr>
          <w:b/>
        </w:rPr>
        <w:t>OSTRZEŻENIE DOTYCZĄCE MAGNESU:</w:t>
      </w:r>
      <w:r>
        <w:t xml:space="preserve"> Ten produkt zawiera magnesy. Trzymać z dala od rozruszników serca, kart kredytowych, zegarków mechanicznych i innych urządzeń wrażliwych magnetycznie.</w:t>
      </w:r>
    </w:p>
    <w:p w14:paraId="38F0BC5C">
      <w:pPr>
        <w:rPr>
          <w:rFonts w:eastAsia="宋体" w:cstheme="minorHAnsi"/>
          <w:sz w:val="22"/>
          <w:szCs w:val="22"/>
          <w:highlight w:val="none"/>
        </w:rPr>
      </w:pPr>
    </w:p>
    <w:p w14:paraId="0676F017">
      <w:pPr>
        <w:rPr>
          <w:rFonts w:eastAsia="宋体" w:cstheme="minorHAnsi"/>
          <w:sz w:val="22"/>
          <w:szCs w:val="22"/>
          <w:highlight w:val="none"/>
        </w:rPr>
      </w:pPr>
      <w:r>
        <w:t>*Obejrzyj film demonstracyjny na YouTube:</w:t>
      </w:r>
    </w:p>
    <w:p w14:paraId="1BE54D97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  <w:r>
        <w:t>Lub zeskanuj kod QR</w:t>
      </w:r>
    </w:p>
    <w:p w14:paraId="46DE6C47">
      <w:pPr>
        <w:widowControl/>
        <w:jc w:val="left"/>
        <w:rPr>
          <w:rFonts w:eastAsia="宋体" w:cstheme="minorHAnsi"/>
          <w:kern w:val="0"/>
          <w:sz w:val="22"/>
          <w:szCs w:val="22"/>
          <w:highlight w:val="none"/>
          <w:lang w:bidi="ar"/>
        </w:rPr>
      </w:pPr>
    </w:p>
    <w:p w14:paraId="5DECB223">
      <w:pPr>
        <w:widowControl/>
        <w:jc w:val="left"/>
        <w:rPr>
          <w:rFonts w:cstheme="minorHAnsi"/>
          <w:sz w:val="22"/>
          <w:szCs w:val="22"/>
          <w:highlight w:val="none"/>
        </w:rPr>
      </w:pPr>
      <w:r>
        <w:t xml:space="preserve">*Każdy produkt SHARPAL jest objęty gwarancją braku wad materiałowych i wykonawczych </w:t>
      </w:r>
    </w:p>
    <w:p w14:paraId="5C7ADA74">
      <w:pPr>
        <w:widowControl/>
        <w:jc w:val="left"/>
        <w:rPr>
          <w:rFonts w:cstheme="minorHAnsi"/>
          <w:sz w:val="22"/>
          <w:szCs w:val="22"/>
          <w:highlight w:val="none"/>
        </w:rPr>
      </w:pPr>
      <w:r>
        <w:t xml:space="preserve">przez </w:t>
      </w:r>
      <w:r>
        <w:rPr>
          <w:b/>
        </w:rPr>
        <w:t xml:space="preserve">3 lata </w:t>
      </w:r>
      <w:r>
        <w:t xml:space="preserve">od daty zakupu przy normalnym zużyciu, z wyjątkiem uszkodzeń </w:t>
      </w:r>
    </w:p>
    <w:p w14:paraId="701B8A00">
      <w:pPr>
        <w:widowControl/>
        <w:jc w:val="left"/>
        <w:rPr>
          <w:rFonts w:cstheme="minorHAnsi"/>
          <w:sz w:val="22"/>
          <w:szCs w:val="22"/>
          <w:highlight w:val="none"/>
        </w:rPr>
      </w:pPr>
      <w:r>
        <w:t xml:space="preserve">spowodowanych niewłaściwym użyciem lub modyfikacją. NINIEJSZA GWARANCJA DOTYCZY WYŁĄCZNIE UŻYTKU NIEPRZEMYSŁOWEGO LUB </w:t>
      </w:r>
    </w:p>
    <w:p w14:paraId="6B8A177C">
      <w:pPr>
        <w:widowControl/>
        <w:jc w:val="left"/>
        <w:rPr>
          <w:rFonts w:cstheme="minorHAnsi"/>
          <w:sz w:val="22"/>
          <w:szCs w:val="22"/>
          <w:highlight w:val="none"/>
        </w:rPr>
      </w:pPr>
      <w:r>
        <w:t xml:space="preserve">NIEKOMERCYJNEGO. Jeśli chcesz zgłosić roszczenie gwarancyjne, skontaktuj się z nami za pośrednictwem </w:t>
      </w:r>
    </w:p>
    <w:p w14:paraId="2BB3E90F">
      <w:pPr>
        <w:widowControl/>
        <w:jc w:val="left"/>
        <w:rPr>
          <w:rFonts w:cstheme="minorHAnsi"/>
          <w:sz w:val="22"/>
          <w:szCs w:val="22"/>
          <w:highlight w:val="none"/>
        </w:rPr>
      </w:pPr>
      <w:r>
        <w:t xml:space="preserve">strony internetowej SHARPAL lub wyślij wiadomość e-mail bezpośrednio na adres </w:t>
      </w:r>
      <w:r>
        <w:rPr>
          <w:u w:val="single"/>
        </w:rPr>
        <w:t>warranty@sharpal.com.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91B71"/>
    <w:multiLevelType w:val="multilevel"/>
    <w:tmpl w:val="04991B7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849534F"/>
    <w:multiLevelType w:val="multilevel"/>
    <w:tmpl w:val="4849534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5C"/>
    <w:rsid w:val="001477BE"/>
    <w:rsid w:val="002A6687"/>
    <w:rsid w:val="002B7B51"/>
    <w:rsid w:val="002C7DEB"/>
    <w:rsid w:val="002E4431"/>
    <w:rsid w:val="003754A7"/>
    <w:rsid w:val="003F39D7"/>
    <w:rsid w:val="004752C1"/>
    <w:rsid w:val="00531445"/>
    <w:rsid w:val="00553F21"/>
    <w:rsid w:val="0058779C"/>
    <w:rsid w:val="005A2C9F"/>
    <w:rsid w:val="005D56E9"/>
    <w:rsid w:val="005E4F29"/>
    <w:rsid w:val="005E7DA4"/>
    <w:rsid w:val="00646E32"/>
    <w:rsid w:val="006766EB"/>
    <w:rsid w:val="006979CC"/>
    <w:rsid w:val="006A3744"/>
    <w:rsid w:val="006C2720"/>
    <w:rsid w:val="00791A97"/>
    <w:rsid w:val="00800C2B"/>
    <w:rsid w:val="0080347F"/>
    <w:rsid w:val="008161AF"/>
    <w:rsid w:val="00824EFD"/>
    <w:rsid w:val="008A7569"/>
    <w:rsid w:val="008B6CF2"/>
    <w:rsid w:val="008D4D2F"/>
    <w:rsid w:val="00923FB6"/>
    <w:rsid w:val="009D6EC5"/>
    <w:rsid w:val="00AC668A"/>
    <w:rsid w:val="00AC677E"/>
    <w:rsid w:val="00B54BF9"/>
    <w:rsid w:val="00B62E01"/>
    <w:rsid w:val="00B90482"/>
    <w:rsid w:val="00C85F20"/>
    <w:rsid w:val="00CE36CB"/>
    <w:rsid w:val="00D526AE"/>
    <w:rsid w:val="00D81EA6"/>
    <w:rsid w:val="00D866BD"/>
    <w:rsid w:val="00DD3279"/>
    <w:rsid w:val="00E0167D"/>
    <w:rsid w:val="00E171B8"/>
    <w:rsid w:val="00E8241F"/>
    <w:rsid w:val="00EA2C5C"/>
    <w:rsid w:val="00ED3DFF"/>
    <w:rsid w:val="00EF0E30"/>
    <w:rsid w:val="00F30CA0"/>
    <w:rsid w:val="00F428B8"/>
    <w:rsid w:val="00F46A1E"/>
    <w:rsid w:val="00FA6081"/>
    <w:rsid w:val="00FC4D53"/>
    <w:rsid w:val="00FE37AD"/>
    <w:rsid w:val="010A08C5"/>
    <w:rsid w:val="01596446"/>
    <w:rsid w:val="015A1949"/>
    <w:rsid w:val="01777BF4"/>
    <w:rsid w:val="01820EA5"/>
    <w:rsid w:val="01A00DB8"/>
    <w:rsid w:val="01A95B07"/>
    <w:rsid w:val="01EB6013"/>
    <w:rsid w:val="01F2533F"/>
    <w:rsid w:val="021332F5"/>
    <w:rsid w:val="021C1A07"/>
    <w:rsid w:val="02382230"/>
    <w:rsid w:val="02586C81"/>
    <w:rsid w:val="02E76B51"/>
    <w:rsid w:val="031C5D26"/>
    <w:rsid w:val="0356048A"/>
    <w:rsid w:val="038012CE"/>
    <w:rsid w:val="03CC7A2C"/>
    <w:rsid w:val="03D454D5"/>
    <w:rsid w:val="03EB50FA"/>
    <w:rsid w:val="047A14E6"/>
    <w:rsid w:val="048F148B"/>
    <w:rsid w:val="04B50046"/>
    <w:rsid w:val="04C560E2"/>
    <w:rsid w:val="04DF6C8C"/>
    <w:rsid w:val="05035BC7"/>
    <w:rsid w:val="0504144A"/>
    <w:rsid w:val="050A0DD5"/>
    <w:rsid w:val="050D1D59"/>
    <w:rsid w:val="051D4572"/>
    <w:rsid w:val="05532473"/>
    <w:rsid w:val="058144EA"/>
    <w:rsid w:val="0583779A"/>
    <w:rsid w:val="058E3070"/>
    <w:rsid w:val="05B6346C"/>
    <w:rsid w:val="05D53D21"/>
    <w:rsid w:val="05DA5C2A"/>
    <w:rsid w:val="05E46539"/>
    <w:rsid w:val="064C4C64"/>
    <w:rsid w:val="06765AA8"/>
    <w:rsid w:val="068715C6"/>
    <w:rsid w:val="069408DC"/>
    <w:rsid w:val="06A046EE"/>
    <w:rsid w:val="06BE5E9C"/>
    <w:rsid w:val="06C11F14"/>
    <w:rsid w:val="06CC0A35"/>
    <w:rsid w:val="06EF446D"/>
    <w:rsid w:val="06FA6082"/>
    <w:rsid w:val="071C503B"/>
    <w:rsid w:val="07215F41"/>
    <w:rsid w:val="072239C3"/>
    <w:rsid w:val="072510C4"/>
    <w:rsid w:val="0750320D"/>
    <w:rsid w:val="0763634B"/>
    <w:rsid w:val="077F3D5C"/>
    <w:rsid w:val="07BC3BC1"/>
    <w:rsid w:val="07BF12C2"/>
    <w:rsid w:val="07C644D1"/>
    <w:rsid w:val="07C95455"/>
    <w:rsid w:val="07CF155D"/>
    <w:rsid w:val="07ED4390"/>
    <w:rsid w:val="0896666F"/>
    <w:rsid w:val="08A737BE"/>
    <w:rsid w:val="09A017D8"/>
    <w:rsid w:val="09A76BE4"/>
    <w:rsid w:val="09D54231"/>
    <w:rsid w:val="09D726B7"/>
    <w:rsid w:val="09E7414B"/>
    <w:rsid w:val="09FA536A"/>
    <w:rsid w:val="0A0B0E13"/>
    <w:rsid w:val="0A2B13BC"/>
    <w:rsid w:val="0A5F6393"/>
    <w:rsid w:val="0A745034"/>
    <w:rsid w:val="0A8607D1"/>
    <w:rsid w:val="0A924382"/>
    <w:rsid w:val="0A95665E"/>
    <w:rsid w:val="0AB74823"/>
    <w:rsid w:val="0AFA6591"/>
    <w:rsid w:val="0B102933"/>
    <w:rsid w:val="0B347670"/>
    <w:rsid w:val="0B393AF8"/>
    <w:rsid w:val="0B5E2A33"/>
    <w:rsid w:val="0B7102DF"/>
    <w:rsid w:val="0B8B64C8"/>
    <w:rsid w:val="0BB743C6"/>
    <w:rsid w:val="0BC97B63"/>
    <w:rsid w:val="0BDD0D82"/>
    <w:rsid w:val="0BF132A6"/>
    <w:rsid w:val="0BF928B1"/>
    <w:rsid w:val="0C1D53EF"/>
    <w:rsid w:val="0C2E7888"/>
    <w:rsid w:val="0C2F5309"/>
    <w:rsid w:val="0C840297"/>
    <w:rsid w:val="0CDF76AC"/>
    <w:rsid w:val="0CEB0F40"/>
    <w:rsid w:val="0D1E2A14"/>
    <w:rsid w:val="0D4548C2"/>
    <w:rsid w:val="0D906C7B"/>
    <w:rsid w:val="0D9074CF"/>
    <w:rsid w:val="0DB64F07"/>
    <w:rsid w:val="0DC36A25"/>
    <w:rsid w:val="0DFA10FD"/>
    <w:rsid w:val="0E0407B3"/>
    <w:rsid w:val="0E224840"/>
    <w:rsid w:val="0E3C75E8"/>
    <w:rsid w:val="0E5C239D"/>
    <w:rsid w:val="0E8222DB"/>
    <w:rsid w:val="0E856AE3"/>
    <w:rsid w:val="0E9B0C86"/>
    <w:rsid w:val="0EAA7C1C"/>
    <w:rsid w:val="0EB55FAD"/>
    <w:rsid w:val="0EC606D6"/>
    <w:rsid w:val="0ED31895"/>
    <w:rsid w:val="0ED92CE9"/>
    <w:rsid w:val="0F0A004B"/>
    <w:rsid w:val="0F0E7940"/>
    <w:rsid w:val="0F135898"/>
    <w:rsid w:val="0F1F345E"/>
    <w:rsid w:val="0F665DD1"/>
    <w:rsid w:val="0FBD7DE5"/>
    <w:rsid w:val="0FE10096"/>
    <w:rsid w:val="0FE92B27"/>
    <w:rsid w:val="0FF33436"/>
    <w:rsid w:val="104E02CD"/>
    <w:rsid w:val="1057315A"/>
    <w:rsid w:val="1058445F"/>
    <w:rsid w:val="106C3100"/>
    <w:rsid w:val="108407A7"/>
    <w:rsid w:val="109045B9"/>
    <w:rsid w:val="109777C7"/>
    <w:rsid w:val="109A074C"/>
    <w:rsid w:val="109C57D8"/>
    <w:rsid w:val="109D16D1"/>
    <w:rsid w:val="10A6675D"/>
    <w:rsid w:val="10AA5163"/>
    <w:rsid w:val="10D80231"/>
    <w:rsid w:val="10F036D9"/>
    <w:rsid w:val="10F058D7"/>
    <w:rsid w:val="10FC4F6D"/>
    <w:rsid w:val="11516BF6"/>
    <w:rsid w:val="11AB3E0C"/>
    <w:rsid w:val="11AF0294"/>
    <w:rsid w:val="11B02492"/>
    <w:rsid w:val="11B71E1D"/>
    <w:rsid w:val="11BC4D20"/>
    <w:rsid w:val="11E9006E"/>
    <w:rsid w:val="11F10CFD"/>
    <w:rsid w:val="122E65E4"/>
    <w:rsid w:val="12312047"/>
    <w:rsid w:val="123C58FA"/>
    <w:rsid w:val="124064FE"/>
    <w:rsid w:val="126B2BC5"/>
    <w:rsid w:val="127669D8"/>
    <w:rsid w:val="12843C71"/>
    <w:rsid w:val="12953A0A"/>
    <w:rsid w:val="12E93494"/>
    <w:rsid w:val="13031039"/>
    <w:rsid w:val="13064FC2"/>
    <w:rsid w:val="130E5C52"/>
    <w:rsid w:val="13410312"/>
    <w:rsid w:val="136611DE"/>
    <w:rsid w:val="136662E0"/>
    <w:rsid w:val="13777FE7"/>
    <w:rsid w:val="13845E37"/>
    <w:rsid w:val="13A3232F"/>
    <w:rsid w:val="13BA3DEE"/>
    <w:rsid w:val="13D77899"/>
    <w:rsid w:val="13F10443"/>
    <w:rsid w:val="13F526CC"/>
    <w:rsid w:val="14283047"/>
    <w:rsid w:val="14480E52"/>
    <w:rsid w:val="14522278"/>
    <w:rsid w:val="14534C64"/>
    <w:rsid w:val="147719A1"/>
    <w:rsid w:val="14A511EB"/>
    <w:rsid w:val="14C10B1B"/>
    <w:rsid w:val="14EC73E1"/>
    <w:rsid w:val="1510411E"/>
    <w:rsid w:val="15743E42"/>
    <w:rsid w:val="15A83398"/>
    <w:rsid w:val="15AB651B"/>
    <w:rsid w:val="15BD7ABA"/>
    <w:rsid w:val="15CA6DCF"/>
    <w:rsid w:val="15DB706A"/>
    <w:rsid w:val="15E169F5"/>
    <w:rsid w:val="15F0598A"/>
    <w:rsid w:val="160C7839"/>
    <w:rsid w:val="16344EEE"/>
    <w:rsid w:val="16394E85"/>
    <w:rsid w:val="165D633E"/>
    <w:rsid w:val="165F72C3"/>
    <w:rsid w:val="167E42F4"/>
    <w:rsid w:val="168A1024"/>
    <w:rsid w:val="168F2010"/>
    <w:rsid w:val="1694429A"/>
    <w:rsid w:val="16D354A0"/>
    <w:rsid w:val="16DD5993"/>
    <w:rsid w:val="17301B9A"/>
    <w:rsid w:val="17475506"/>
    <w:rsid w:val="17487240"/>
    <w:rsid w:val="174E114A"/>
    <w:rsid w:val="178939B5"/>
    <w:rsid w:val="17B80B79"/>
    <w:rsid w:val="17C774E1"/>
    <w:rsid w:val="17CA6515"/>
    <w:rsid w:val="17F376D9"/>
    <w:rsid w:val="18052E77"/>
    <w:rsid w:val="180E5D05"/>
    <w:rsid w:val="18123134"/>
    <w:rsid w:val="18164F42"/>
    <w:rsid w:val="181C2A9C"/>
    <w:rsid w:val="18434EDA"/>
    <w:rsid w:val="184B7D68"/>
    <w:rsid w:val="18650063"/>
    <w:rsid w:val="18664195"/>
    <w:rsid w:val="18671C16"/>
    <w:rsid w:val="18877F4D"/>
    <w:rsid w:val="189204DC"/>
    <w:rsid w:val="18AC4909"/>
    <w:rsid w:val="18BA5E1D"/>
    <w:rsid w:val="18BD6DA2"/>
    <w:rsid w:val="18D137D6"/>
    <w:rsid w:val="18E86CED"/>
    <w:rsid w:val="18ED5373"/>
    <w:rsid w:val="192D615C"/>
    <w:rsid w:val="19582824"/>
    <w:rsid w:val="19613133"/>
    <w:rsid w:val="198C19F9"/>
    <w:rsid w:val="19B915C3"/>
    <w:rsid w:val="1A1815DD"/>
    <w:rsid w:val="1A1928E2"/>
    <w:rsid w:val="1A761976"/>
    <w:rsid w:val="1A9234A5"/>
    <w:rsid w:val="1AEC4E38"/>
    <w:rsid w:val="1AF60FCB"/>
    <w:rsid w:val="1B125078"/>
    <w:rsid w:val="1B3E13BF"/>
    <w:rsid w:val="1B550FE4"/>
    <w:rsid w:val="1B586E3F"/>
    <w:rsid w:val="1B5F18F4"/>
    <w:rsid w:val="1B776F9B"/>
    <w:rsid w:val="1B7D6926"/>
    <w:rsid w:val="1BB44881"/>
    <w:rsid w:val="1BD702B9"/>
    <w:rsid w:val="1C26713F"/>
    <w:rsid w:val="1C561E8C"/>
    <w:rsid w:val="1C756EBE"/>
    <w:rsid w:val="1C7C3F39"/>
    <w:rsid w:val="1C8C52C0"/>
    <w:rsid w:val="1C8D4564"/>
    <w:rsid w:val="1C951971"/>
    <w:rsid w:val="1CB07F9C"/>
    <w:rsid w:val="1CB82E2A"/>
    <w:rsid w:val="1CFA299A"/>
    <w:rsid w:val="1CFC261A"/>
    <w:rsid w:val="1D0F70BC"/>
    <w:rsid w:val="1D212567"/>
    <w:rsid w:val="1D2B351D"/>
    <w:rsid w:val="1D707DE9"/>
    <w:rsid w:val="1D790CEA"/>
    <w:rsid w:val="1D8C4487"/>
    <w:rsid w:val="1DB268C5"/>
    <w:rsid w:val="1DBA78EC"/>
    <w:rsid w:val="1DD16623"/>
    <w:rsid w:val="1DEF672A"/>
    <w:rsid w:val="1DF51E9C"/>
    <w:rsid w:val="1EA85B59"/>
    <w:rsid w:val="1EE47F3C"/>
    <w:rsid w:val="1EE937D9"/>
    <w:rsid w:val="1F022D6F"/>
    <w:rsid w:val="1F187491"/>
    <w:rsid w:val="1F20231F"/>
    <w:rsid w:val="1F2A29CF"/>
    <w:rsid w:val="1F371F44"/>
    <w:rsid w:val="1F3D3E4E"/>
    <w:rsid w:val="1F466CDC"/>
    <w:rsid w:val="1F516372"/>
    <w:rsid w:val="1F597EFB"/>
    <w:rsid w:val="1F612F71"/>
    <w:rsid w:val="1F62545B"/>
    <w:rsid w:val="1F693A18"/>
    <w:rsid w:val="1FF32ECF"/>
    <w:rsid w:val="1FFE648A"/>
    <w:rsid w:val="201A5DBA"/>
    <w:rsid w:val="202750D0"/>
    <w:rsid w:val="20820C62"/>
    <w:rsid w:val="20AC1AA6"/>
    <w:rsid w:val="20B27232"/>
    <w:rsid w:val="214A06AB"/>
    <w:rsid w:val="216D7966"/>
    <w:rsid w:val="21816606"/>
    <w:rsid w:val="21AD074F"/>
    <w:rsid w:val="21E01EA3"/>
    <w:rsid w:val="220E6500"/>
    <w:rsid w:val="22194E4C"/>
    <w:rsid w:val="22214E8B"/>
    <w:rsid w:val="224F7F58"/>
    <w:rsid w:val="225059DA"/>
    <w:rsid w:val="225E4CF0"/>
    <w:rsid w:val="228274AE"/>
    <w:rsid w:val="22985DCE"/>
    <w:rsid w:val="22B221FB"/>
    <w:rsid w:val="22BB35F2"/>
    <w:rsid w:val="22E22D4A"/>
    <w:rsid w:val="23256CB7"/>
    <w:rsid w:val="233B46DE"/>
    <w:rsid w:val="234B4D5C"/>
    <w:rsid w:val="234F58FD"/>
    <w:rsid w:val="235237BB"/>
    <w:rsid w:val="23720241"/>
    <w:rsid w:val="238C7960"/>
    <w:rsid w:val="23AE5916"/>
    <w:rsid w:val="23AF3398"/>
    <w:rsid w:val="23EE53EE"/>
    <w:rsid w:val="241B5F4A"/>
    <w:rsid w:val="24283062"/>
    <w:rsid w:val="2444388B"/>
    <w:rsid w:val="244625F2"/>
    <w:rsid w:val="245F0DC4"/>
    <w:rsid w:val="247321DC"/>
    <w:rsid w:val="247578DE"/>
    <w:rsid w:val="247962E4"/>
    <w:rsid w:val="24A03FA5"/>
    <w:rsid w:val="24AA2210"/>
    <w:rsid w:val="24AE0D3C"/>
    <w:rsid w:val="24AF67BE"/>
    <w:rsid w:val="24BB25D0"/>
    <w:rsid w:val="24BD3555"/>
    <w:rsid w:val="24D95404"/>
    <w:rsid w:val="24E76918"/>
    <w:rsid w:val="24F76BB2"/>
    <w:rsid w:val="25525FC7"/>
    <w:rsid w:val="256604EB"/>
    <w:rsid w:val="25783C88"/>
    <w:rsid w:val="258864A1"/>
    <w:rsid w:val="25B65CEB"/>
    <w:rsid w:val="25BE5FC6"/>
    <w:rsid w:val="25CB240D"/>
    <w:rsid w:val="25DE142E"/>
    <w:rsid w:val="25E258B6"/>
    <w:rsid w:val="260E7545"/>
    <w:rsid w:val="26606184"/>
    <w:rsid w:val="268166B9"/>
    <w:rsid w:val="26A80AF7"/>
    <w:rsid w:val="26A86D7E"/>
    <w:rsid w:val="26AA787D"/>
    <w:rsid w:val="26B119D0"/>
    <w:rsid w:val="26C55EA9"/>
    <w:rsid w:val="26CB5833"/>
    <w:rsid w:val="26DB38D0"/>
    <w:rsid w:val="26EE4AEF"/>
    <w:rsid w:val="27085698"/>
    <w:rsid w:val="272E2055"/>
    <w:rsid w:val="273242DE"/>
    <w:rsid w:val="27833A63"/>
    <w:rsid w:val="27BB513C"/>
    <w:rsid w:val="27CF1BDE"/>
    <w:rsid w:val="27F84FA1"/>
    <w:rsid w:val="280A073E"/>
    <w:rsid w:val="2819328C"/>
    <w:rsid w:val="282B44F6"/>
    <w:rsid w:val="28347384"/>
    <w:rsid w:val="28400C18"/>
    <w:rsid w:val="28645955"/>
    <w:rsid w:val="287E64FF"/>
    <w:rsid w:val="288D0D17"/>
    <w:rsid w:val="289B3A6A"/>
    <w:rsid w:val="28B83071"/>
    <w:rsid w:val="28DD795B"/>
    <w:rsid w:val="28E9232B"/>
    <w:rsid w:val="28FF44CE"/>
    <w:rsid w:val="290563D8"/>
    <w:rsid w:val="290C15E6"/>
    <w:rsid w:val="293D1DB5"/>
    <w:rsid w:val="29485BC7"/>
    <w:rsid w:val="295E7D6B"/>
    <w:rsid w:val="29A504DF"/>
    <w:rsid w:val="29A77266"/>
    <w:rsid w:val="29AA70BF"/>
    <w:rsid w:val="29BD1409"/>
    <w:rsid w:val="29C92C9E"/>
    <w:rsid w:val="29E647CC"/>
    <w:rsid w:val="2A093A87"/>
    <w:rsid w:val="2A16531B"/>
    <w:rsid w:val="2A194EC4"/>
    <w:rsid w:val="2A261D32"/>
    <w:rsid w:val="2A3732D1"/>
    <w:rsid w:val="2A552882"/>
    <w:rsid w:val="2A687324"/>
    <w:rsid w:val="2A7243B0"/>
    <w:rsid w:val="2A8668D4"/>
    <w:rsid w:val="2A994270"/>
    <w:rsid w:val="2A9A1CF1"/>
    <w:rsid w:val="2ABE6A2E"/>
    <w:rsid w:val="2AFE7817"/>
    <w:rsid w:val="2B3012EB"/>
    <w:rsid w:val="2B341EF0"/>
    <w:rsid w:val="2B623CB8"/>
    <w:rsid w:val="2B642A3F"/>
    <w:rsid w:val="2B681445"/>
    <w:rsid w:val="2B98090B"/>
    <w:rsid w:val="2BA33828"/>
    <w:rsid w:val="2BA8442D"/>
    <w:rsid w:val="2C025DC0"/>
    <w:rsid w:val="2C0525C8"/>
    <w:rsid w:val="2C536276"/>
    <w:rsid w:val="2C9E14C2"/>
    <w:rsid w:val="2CAF71DE"/>
    <w:rsid w:val="2CE463B3"/>
    <w:rsid w:val="2CF1172E"/>
    <w:rsid w:val="2D005CE3"/>
    <w:rsid w:val="2D152405"/>
    <w:rsid w:val="2D3055C0"/>
    <w:rsid w:val="2D3F3249"/>
    <w:rsid w:val="2D5B50F8"/>
    <w:rsid w:val="2D5C2B7A"/>
    <w:rsid w:val="2DCC08AF"/>
    <w:rsid w:val="2DFA177E"/>
    <w:rsid w:val="2E0C4F1C"/>
    <w:rsid w:val="2E246D3F"/>
    <w:rsid w:val="2E2F2B52"/>
    <w:rsid w:val="2E7E3F56"/>
    <w:rsid w:val="2E8B79E8"/>
    <w:rsid w:val="2EA0410A"/>
    <w:rsid w:val="2EA0798E"/>
    <w:rsid w:val="2EB92AB6"/>
    <w:rsid w:val="2EC333C5"/>
    <w:rsid w:val="2F0363AD"/>
    <w:rsid w:val="2F093B3A"/>
    <w:rsid w:val="2F2B5748"/>
    <w:rsid w:val="2F4B7E26"/>
    <w:rsid w:val="2F552934"/>
    <w:rsid w:val="2F683B53"/>
    <w:rsid w:val="2F750C6B"/>
    <w:rsid w:val="2F922799"/>
    <w:rsid w:val="2F992124"/>
    <w:rsid w:val="2FFB21C9"/>
    <w:rsid w:val="3006055A"/>
    <w:rsid w:val="30075FDB"/>
    <w:rsid w:val="303F3BB7"/>
    <w:rsid w:val="30463541"/>
    <w:rsid w:val="30976EBF"/>
    <w:rsid w:val="30AC6769"/>
    <w:rsid w:val="30CF21A1"/>
    <w:rsid w:val="30D30BA7"/>
    <w:rsid w:val="30E1593E"/>
    <w:rsid w:val="30EB1633"/>
    <w:rsid w:val="31102C0A"/>
    <w:rsid w:val="31152915"/>
    <w:rsid w:val="311C22A0"/>
    <w:rsid w:val="311E57A3"/>
    <w:rsid w:val="311F31F4"/>
    <w:rsid w:val="313169C2"/>
    <w:rsid w:val="314743E9"/>
    <w:rsid w:val="314F17F5"/>
    <w:rsid w:val="316A7E21"/>
    <w:rsid w:val="31971BEA"/>
    <w:rsid w:val="31BA0EA5"/>
    <w:rsid w:val="31C35F31"/>
    <w:rsid w:val="320C1BA8"/>
    <w:rsid w:val="32134DB6"/>
    <w:rsid w:val="326170B4"/>
    <w:rsid w:val="326844C0"/>
    <w:rsid w:val="32907C03"/>
    <w:rsid w:val="3295408B"/>
    <w:rsid w:val="32B20E2F"/>
    <w:rsid w:val="32D60378"/>
    <w:rsid w:val="32DB0F7C"/>
    <w:rsid w:val="33091308"/>
    <w:rsid w:val="333E6AA2"/>
    <w:rsid w:val="335B05D1"/>
    <w:rsid w:val="33AE1D74"/>
    <w:rsid w:val="33C259F7"/>
    <w:rsid w:val="34106DFB"/>
    <w:rsid w:val="342D50A6"/>
    <w:rsid w:val="347D612A"/>
    <w:rsid w:val="347E742F"/>
    <w:rsid w:val="34833930"/>
    <w:rsid w:val="34890A11"/>
    <w:rsid w:val="34915F15"/>
    <w:rsid w:val="349C315B"/>
    <w:rsid w:val="34C26C1E"/>
    <w:rsid w:val="34C3689E"/>
    <w:rsid w:val="34EF2BE5"/>
    <w:rsid w:val="352B2DCA"/>
    <w:rsid w:val="354B7A7C"/>
    <w:rsid w:val="356A4AAD"/>
    <w:rsid w:val="35AA111A"/>
    <w:rsid w:val="35D20DC3"/>
    <w:rsid w:val="35FE2DA3"/>
    <w:rsid w:val="3652282D"/>
    <w:rsid w:val="36556CB0"/>
    <w:rsid w:val="367F45F6"/>
    <w:rsid w:val="36832FFC"/>
    <w:rsid w:val="369672C2"/>
    <w:rsid w:val="369A2C21"/>
    <w:rsid w:val="36A003AE"/>
    <w:rsid w:val="36A31332"/>
    <w:rsid w:val="36A50FB2"/>
    <w:rsid w:val="36DB148C"/>
    <w:rsid w:val="37250607"/>
    <w:rsid w:val="372721A3"/>
    <w:rsid w:val="372F4799"/>
    <w:rsid w:val="3732571E"/>
    <w:rsid w:val="37373DA4"/>
    <w:rsid w:val="376400EB"/>
    <w:rsid w:val="37822F1F"/>
    <w:rsid w:val="378E47B3"/>
    <w:rsid w:val="37B13A6E"/>
    <w:rsid w:val="37B449F3"/>
    <w:rsid w:val="37DF32B8"/>
    <w:rsid w:val="383D5850"/>
    <w:rsid w:val="38D47048"/>
    <w:rsid w:val="38DF0C5D"/>
    <w:rsid w:val="392513D1"/>
    <w:rsid w:val="392B32DA"/>
    <w:rsid w:val="394C5A0D"/>
    <w:rsid w:val="395E3DBA"/>
    <w:rsid w:val="396E39C4"/>
    <w:rsid w:val="39910DD9"/>
    <w:rsid w:val="3997260A"/>
    <w:rsid w:val="39BB287B"/>
    <w:rsid w:val="39C678D5"/>
    <w:rsid w:val="39D03A68"/>
    <w:rsid w:val="39DD52FC"/>
    <w:rsid w:val="39F32D23"/>
    <w:rsid w:val="39F529A3"/>
    <w:rsid w:val="39FA48AC"/>
    <w:rsid w:val="3A29797A"/>
    <w:rsid w:val="3A445FA5"/>
    <w:rsid w:val="3A5706CA"/>
    <w:rsid w:val="3A8A2E97"/>
    <w:rsid w:val="3AA70248"/>
    <w:rsid w:val="3AFE1F63"/>
    <w:rsid w:val="3B071567"/>
    <w:rsid w:val="3B3A303A"/>
    <w:rsid w:val="3B43394A"/>
    <w:rsid w:val="3B4648CF"/>
    <w:rsid w:val="3B512C60"/>
    <w:rsid w:val="3B60677A"/>
    <w:rsid w:val="3B9114CB"/>
    <w:rsid w:val="3B947FA9"/>
    <w:rsid w:val="3BA8586D"/>
    <w:rsid w:val="3BC5739B"/>
    <w:rsid w:val="3BC83BA3"/>
    <w:rsid w:val="3BF16F66"/>
    <w:rsid w:val="3C1A48A7"/>
    <w:rsid w:val="3C3D3B62"/>
    <w:rsid w:val="3C7B6ECA"/>
    <w:rsid w:val="3C941FF2"/>
    <w:rsid w:val="3C9B197D"/>
    <w:rsid w:val="3CF62F90"/>
    <w:rsid w:val="3CFB7418"/>
    <w:rsid w:val="3D052D63"/>
    <w:rsid w:val="3D08452F"/>
    <w:rsid w:val="3D3C4E79"/>
    <w:rsid w:val="3D3D4FC4"/>
    <w:rsid w:val="3D461E16"/>
    <w:rsid w:val="3D581D30"/>
    <w:rsid w:val="3D6A0D51"/>
    <w:rsid w:val="3D7106DB"/>
    <w:rsid w:val="3DBC381D"/>
    <w:rsid w:val="3DCA67EC"/>
    <w:rsid w:val="3DD119FA"/>
    <w:rsid w:val="3DF17D30"/>
    <w:rsid w:val="3DF504B9"/>
    <w:rsid w:val="3E243A02"/>
    <w:rsid w:val="3E3A573A"/>
    <w:rsid w:val="3E5327E8"/>
    <w:rsid w:val="3E630F69"/>
    <w:rsid w:val="3E941738"/>
    <w:rsid w:val="3ED944FA"/>
    <w:rsid w:val="3EE26F73"/>
    <w:rsid w:val="3EFC5C64"/>
    <w:rsid w:val="3F2200A2"/>
    <w:rsid w:val="3F484A5E"/>
    <w:rsid w:val="3F815EBD"/>
    <w:rsid w:val="3FB76397"/>
    <w:rsid w:val="3FBC281F"/>
    <w:rsid w:val="3FF2486E"/>
    <w:rsid w:val="3FF42B09"/>
    <w:rsid w:val="407D28DD"/>
    <w:rsid w:val="409A0B88"/>
    <w:rsid w:val="40A73721"/>
    <w:rsid w:val="40AA46A6"/>
    <w:rsid w:val="40F612A2"/>
    <w:rsid w:val="412E6E7D"/>
    <w:rsid w:val="4138778D"/>
    <w:rsid w:val="4139520E"/>
    <w:rsid w:val="414B13C4"/>
    <w:rsid w:val="41535DB8"/>
    <w:rsid w:val="416050CE"/>
    <w:rsid w:val="417C49FE"/>
    <w:rsid w:val="41932425"/>
    <w:rsid w:val="41A945C9"/>
    <w:rsid w:val="41BA3087"/>
    <w:rsid w:val="41BF676C"/>
    <w:rsid w:val="421F7A8A"/>
    <w:rsid w:val="422C351D"/>
    <w:rsid w:val="42461EC8"/>
    <w:rsid w:val="42775F1B"/>
    <w:rsid w:val="42850F5B"/>
    <w:rsid w:val="42947A49"/>
    <w:rsid w:val="42A70C68"/>
    <w:rsid w:val="42AE05F3"/>
    <w:rsid w:val="42C84A20"/>
    <w:rsid w:val="42CA46A0"/>
    <w:rsid w:val="42D617B7"/>
    <w:rsid w:val="42F75C15"/>
    <w:rsid w:val="43254DBA"/>
    <w:rsid w:val="432C0EC1"/>
    <w:rsid w:val="43C845C3"/>
    <w:rsid w:val="43D922DF"/>
    <w:rsid w:val="43FE6778"/>
    <w:rsid w:val="441C07CA"/>
    <w:rsid w:val="4442648B"/>
    <w:rsid w:val="44572BAD"/>
    <w:rsid w:val="44A97134"/>
    <w:rsid w:val="44B52F47"/>
    <w:rsid w:val="44B9194D"/>
    <w:rsid w:val="44E05090"/>
    <w:rsid w:val="451A3F70"/>
    <w:rsid w:val="45412B2B"/>
    <w:rsid w:val="45462836"/>
    <w:rsid w:val="454D7C42"/>
    <w:rsid w:val="454F3145"/>
    <w:rsid w:val="457F5E93"/>
    <w:rsid w:val="45824C19"/>
    <w:rsid w:val="4587329F"/>
    <w:rsid w:val="45A560D2"/>
    <w:rsid w:val="45B32E6A"/>
    <w:rsid w:val="45D50E20"/>
    <w:rsid w:val="45D668A1"/>
    <w:rsid w:val="45DA52A8"/>
    <w:rsid w:val="461B3B13"/>
    <w:rsid w:val="46325936"/>
    <w:rsid w:val="46513C09"/>
    <w:rsid w:val="465F0D84"/>
    <w:rsid w:val="46AE0B03"/>
    <w:rsid w:val="46BA0199"/>
    <w:rsid w:val="46BF681F"/>
    <w:rsid w:val="46D27A3E"/>
    <w:rsid w:val="46FE3D85"/>
    <w:rsid w:val="47423575"/>
    <w:rsid w:val="477F33DA"/>
    <w:rsid w:val="479C078C"/>
    <w:rsid w:val="47A55818"/>
    <w:rsid w:val="47B34B2D"/>
    <w:rsid w:val="47F830A4"/>
    <w:rsid w:val="484A762B"/>
    <w:rsid w:val="48586940"/>
    <w:rsid w:val="485F62CB"/>
    <w:rsid w:val="486758D6"/>
    <w:rsid w:val="48BF75E9"/>
    <w:rsid w:val="49015AD4"/>
    <w:rsid w:val="49252811"/>
    <w:rsid w:val="495F5E6E"/>
    <w:rsid w:val="496557F9"/>
    <w:rsid w:val="49825129"/>
    <w:rsid w:val="49877032"/>
    <w:rsid w:val="49B91A00"/>
    <w:rsid w:val="49F34163"/>
    <w:rsid w:val="49F9606C"/>
    <w:rsid w:val="49FA3AEE"/>
    <w:rsid w:val="4A080885"/>
    <w:rsid w:val="4A0A0505"/>
    <w:rsid w:val="4A4E6A63"/>
    <w:rsid w:val="4A653674"/>
    <w:rsid w:val="4A9A2372"/>
    <w:rsid w:val="4A9C5875"/>
    <w:rsid w:val="4AB11F98"/>
    <w:rsid w:val="4ACA50C0"/>
    <w:rsid w:val="4ACC05C3"/>
    <w:rsid w:val="4ACD22A7"/>
    <w:rsid w:val="4AD81E57"/>
    <w:rsid w:val="4AE301E8"/>
    <w:rsid w:val="4AE536EB"/>
    <w:rsid w:val="4AF14F7F"/>
    <w:rsid w:val="4B32706E"/>
    <w:rsid w:val="4B585C28"/>
    <w:rsid w:val="4B7145D4"/>
    <w:rsid w:val="4B7919E0"/>
    <w:rsid w:val="4B952E6B"/>
    <w:rsid w:val="4B96350F"/>
    <w:rsid w:val="4BC42D59"/>
    <w:rsid w:val="4BE541EC"/>
    <w:rsid w:val="4C012BBE"/>
    <w:rsid w:val="4C1172D9"/>
    <w:rsid w:val="4C1705E5"/>
    <w:rsid w:val="4C205671"/>
    <w:rsid w:val="4C544BC7"/>
    <w:rsid w:val="4C60645B"/>
    <w:rsid w:val="4C870899"/>
    <w:rsid w:val="4CA0731E"/>
    <w:rsid w:val="4CB9236D"/>
    <w:rsid w:val="4CBD45F6"/>
    <w:rsid w:val="4CBF4276"/>
    <w:rsid w:val="4CEC603F"/>
    <w:rsid w:val="4D1C4610"/>
    <w:rsid w:val="4D1F5594"/>
    <w:rsid w:val="4D283CA5"/>
    <w:rsid w:val="4D3C74E9"/>
    <w:rsid w:val="4D655D09"/>
    <w:rsid w:val="4D773A25"/>
    <w:rsid w:val="4D796F28"/>
    <w:rsid w:val="4D827837"/>
    <w:rsid w:val="4DC8252A"/>
    <w:rsid w:val="4DF036EE"/>
    <w:rsid w:val="4DFA077B"/>
    <w:rsid w:val="4E000105"/>
    <w:rsid w:val="4E03108A"/>
    <w:rsid w:val="4E1061A1"/>
    <w:rsid w:val="4E144BA8"/>
    <w:rsid w:val="4E2F31D3"/>
    <w:rsid w:val="4E3E59EC"/>
    <w:rsid w:val="4E7A0A87"/>
    <w:rsid w:val="4E7C7A4F"/>
    <w:rsid w:val="4E856160"/>
    <w:rsid w:val="4E9066F0"/>
    <w:rsid w:val="4EBC62BA"/>
    <w:rsid w:val="4EBF151B"/>
    <w:rsid w:val="4EC51148"/>
    <w:rsid w:val="4EC66BCA"/>
    <w:rsid w:val="4ECF2E30"/>
    <w:rsid w:val="4ED33CE1"/>
    <w:rsid w:val="4F065435"/>
    <w:rsid w:val="4F1D2E5C"/>
    <w:rsid w:val="4F2E0B78"/>
    <w:rsid w:val="4F447498"/>
    <w:rsid w:val="4F493920"/>
    <w:rsid w:val="4F676753"/>
    <w:rsid w:val="4F8F7917"/>
    <w:rsid w:val="4F925019"/>
    <w:rsid w:val="50116BEC"/>
    <w:rsid w:val="50BC3801"/>
    <w:rsid w:val="50DB62B4"/>
    <w:rsid w:val="510164F4"/>
    <w:rsid w:val="512579AE"/>
    <w:rsid w:val="513015C2"/>
    <w:rsid w:val="513F3DDB"/>
    <w:rsid w:val="514F07F2"/>
    <w:rsid w:val="51517578"/>
    <w:rsid w:val="51937FE1"/>
    <w:rsid w:val="519B66F3"/>
    <w:rsid w:val="51CB39BF"/>
    <w:rsid w:val="51DE0461"/>
    <w:rsid w:val="51F34B83"/>
    <w:rsid w:val="5202191A"/>
    <w:rsid w:val="521D2144"/>
    <w:rsid w:val="522D01E0"/>
    <w:rsid w:val="524B7790"/>
    <w:rsid w:val="52BC45CC"/>
    <w:rsid w:val="535556C4"/>
    <w:rsid w:val="537539FA"/>
    <w:rsid w:val="53E143AE"/>
    <w:rsid w:val="53FD045B"/>
    <w:rsid w:val="540E28F4"/>
    <w:rsid w:val="541B7A0B"/>
    <w:rsid w:val="54211915"/>
    <w:rsid w:val="54221594"/>
    <w:rsid w:val="54366037"/>
    <w:rsid w:val="544929FF"/>
    <w:rsid w:val="54595F7A"/>
    <w:rsid w:val="54A87573"/>
    <w:rsid w:val="54C67EA4"/>
    <w:rsid w:val="54F2189F"/>
    <w:rsid w:val="54FB4AFB"/>
    <w:rsid w:val="55276C44"/>
    <w:rsid w:val="552F624E"/>
    <w:rsid w:val="55547CC2"/>
    <w:rsid w:val="555A7093"/>
    <w:rsid w:val="558624E1"/>
    <w:rsid w:val="55935C72"/>
    <w:rsid w:val="55951476"/>
    <w:rsid w:val="559801FC"/>
    <w:rsid w:val="55C05B3D"/>
    <w:rsid w:val="5604532D"/>
    <w:rsid w:val="560A1435"/>
    <w:rsid w:val="561D0456"/>
    <w:rsid w:val="56245862"/>
    <w:rsid w:val="562C1C22"/>
    <w:rsid w:val="563A7A06"/>
    <w:rsid w:val="565428FA"/>
    <w:rsid w:val="56553E33"/>
    <w:rsid w:val="565D1E21"/>
    <w:rsid w:val="56957124"/>
    <w:rsid w:val="56AC22C3"/>
    <w:rsid w:val="56B43E4C"/>
    <w:rsid w:val="56E90AA3"/>
    <w:rsid w:val="56F426B7"/>
    <w:rsid w:val="570219CD"/>
    <w:rsid w:val="5714516A"/>
    <w:rsid w:val="573840A5"/>
    <w:rsid w:val="574D7FBA"/>
    <w:rsid w:val="57722F85"/>
    <w:rsid w:val="577E261B"/>
    <w:rsid w:val="579B08C7"/>
    <w:rsid w:val="57E532C4"/>
    <w:rsid w:val="57E60D46"/>
    <w:rsid w:val="57EF3BD4"/>
    <w:rsid w:val="58030846"/>
    <w:rsid w:val="58223786"/>
    <w:rsid w:val="58481CE4"/>
    <w:rsid w:val="585722FF"/>
    <w:rsid w:val="585A3283"/>
    <w:rsid w:val="585D6406"/>
    <w:rsid w:val="587B59B6"/>
    <w:rsid w:val="58BF0A29"/>
    <w:rsid w:val="58C219AE"/>
    <w:rsid w:val="58DF56DB"/>
    <w:rsid w:val="591C553F"/>
    <w:rsid w:val="593B5DF4"/>
    <w:rsid w:val="59450902"/>
    <w:rsid w:val="59762756"/>
    <w:rsid w:val="598F3DCB"/>
    <w:rsid w:val="59934285"/>
    <w:rsid w:val="59957788"/>
    <w:rsid w:val="599C7113"/>
    <w:rsid w:val="59BC3DC4"/>
    <w:rsid w:val="59BC7647"/>
    <w:rsid w:val="5A0148B9"/>
    <w:rsid w:val="5A21156A"/>
    <w:rsid w:val="5A226FEB"/>
    <w:rsid w:val="5A594F47"/>
    <w:rsid w:val="5A857090"/>
    <w:rsid w:val="5AB95BC3"/>
    <w:rsid w:val="5ACB7804"/>
    <w:rsid w:val="5B081868"/>
    <w:rsid w:val="5B117F79"/>
    <w:rsid w:val="5B28431B"/>
    <w:rsid w:val="5B3F200F"/>
    <w:rsid w:val="5B7D50AA"/>
    <w:rsid w:val="5B952750"/>
    <w:rsid w:val="5BB31D00"/>
    <w:rsid w:val="5BD60FBC"/>
    <w:rsid w:val="5BE76CD7"/>
    <w:rsid w:val="5BEA7C5C"/>
    <w:rsid w:val="5C1A6550"/>
    <w:rsid w:val="5C1B4BA8"/>
    <w:rsid w:val="5C2E7D3B"/>
    <w:rsid w:val="5C335AD2"/>
    <w:rsid w:val="5C366A56"/>
    <w:rsid w:val="5C4D48E8"/>
    <w:rsid w:val="5CB35126"/>
    <w:rsid w:val="5CB673FE"/>
    <w:rsid w:val="5CBE34B8"/>
    <w:rsid w:val="5D153EC6"/>
    <w:rsid w:val="5D2850E5"/>
    <w:rsid w:val="5D441192"/>
    <w:rsid w:val="5D545BA9"/>
    <w:rsid w:val="5D60523F"/>
    <w:rsid w:val="5D751961"/>
    <w:rsid w:val="5DA73435"/>
    <w:rsid w:val="5DB5274B"/>
    <w:rsid w:val="5DB623CB"/>
    <w:rsid w:val="5DCC2370"/>
    <w:rsid w:val="5DE55498"/>
    <w:rsid w:val="5E04700C"/>
    <w:rsid w:val="5E097C56"/>
    <w:rsid w:val="5E302094"/>
    <w:rsid w:val="5E3B5EA7"/>
    <w:rsid w:val="5E45203A"/>
    <w:rsid w:val="5E716381"/>
    <w:rsid w:val="5E736001"/>
    <w:rsid w:val="5EBF067F"/>
    <w:rsid w:val="5EBF6480"/>
    <w:rsid w:val="5ECB7D14"/>
    <w:rsid w:val="5F0720F8"/>
    <w:rsid w:val="5F0A527B"/>
    <w:rsid w:val="5F164911"/>
    <w:rsid w:val="5F1B5515"/>
    <w:rsid w:val="5F2538A6"/>
    <w:rsid w:val="5F8416C1"/>
    <w:rsid w:val="5FB2478F"/>
    <w:rsid w:val="5FCC5339"/>
    <w:rsid w:val="5FE274DC"/>
    <w:rsid w:val="5FE33B7B"/>
    <w:rsid w:val="5FFB5E88"/>
    <w:rsid w:val="6035241F"/>
    <w:rsid w:val="603B6C71"/>
    <w:rsid w:val="60467201"/>
    <w:rsid w:val="60546516"/>
    <w:rsid w:val="605E0C2A"/>
    <w:rsid w:val="60680A3A"/>
    <w:rsid w:val="6072134A"/>
    <w:rsid w:val="60730FCA"/>
    <w:rsid w:val="60B35636"/>
    <w:rsid w:val="60BD26C3"/>
    <w:rsid w:val="60C53352"/>
    <w:rsid w:val="60F01C18"/>
    <w:rsid w:val="60FE69AF"/>
    <w:rsid w:val="611046CB"/>
    <w:rsid w:val="61466DA4"/>
    <w:rsid w:val="61785739"/>
    <w:rsid w:val="61AE54CE"/>
    <w:rsid w:val="61B82382"/>
    <w:rsid w:val="61C763F8"/>
    <w:rsid w:val="61CE5D83"/>
    <w:rsid w:val="61DD3E1F"/>
    <w:rsid w:val="61FC0E51"/>
    <w:rsid w:val="620329DA"/>
    <w:rsid w:val="622A069B"/>
    <w:rsid w:val="6278621C"/>
    <w:rsid w:val="62BE310D"/>
    <w:rsid w:val="62C01E93"/>
    <w:rsid w:val="62C21B13"/>
    <w:rsid w:val="63064B86"/>
    <w:rsid w:val="6318012F"/>
    <w:rsid w:val="63602910"/>
    <w:rsid w:val="637C2BFB"/>
    <w:rsid w:val="637E354B"/>
    <w:rsid w:val="639C27A7"/>
    <w:rsid w:val="639D4BE4"/>
    <w:rsid w:val="63AD4F94"/>
    <w:rsid w:val="63BB7B2D"/>
    <w:rsid w:val="63CA2346"/>
    <w:rsid w:val="63CD32CA"/>
    <w:rsid w:val="63F4318A"/>
    <w:rsid w:val="6430556D"/>
    <w:rsid w:val="64320A70"/>
    <w:rsid w:val="64535B97"/>
    <w:rsid w:val="64654742"/>
    <w:rsid w:val="646E2E54"/>
    <w:rsid w:val="64760C38"/>
    <w:rsid w:val="647B68E6"/>
    <w:rsid w:val="648107EF"/>
    <w:rsid w:val="64B66ACB"/>
    <w:rsid w:val="650520CD"/>
    <w:rsid w:val="65171FE8"/>
    <w:rsid w:val="652B3207"/>
    <w:rsid w:val="656D50A8"/>
    <w:rsid w:val="65A166C8"/>
    <w:rsid w:val="65D05019"/>
    <w:rsid w:val="65D66F23"/>
    <w:rsid w:val="65E174B2"/>
    <w:rsid w:val="663C4348"/>
    <w:rsid w:val="664C23E4"/>
    <w:rsid w:val="66570776"/>
    <w:rsid w:val="665C6DFC"/>
    <w:rsid w:val="66605802"/>
    <w:rsid w:val="667D2BB4"/>
    <w:rsid w:val="667E7D97"/>
    <w:rsid w:val="667F2833"/>
    <w:rsid w:val="66911854"/>
    <w:rsid w:val="66E02E1B"/>
    <w:rsid w:val="66EB74C6"/>
    <w:rsid w:val="66F0766F"/>
    <w:rsid w:val="66FF1E88"/>
    <w:rsid w:val="67090219"/>
    <w:rsid w:val="670D6C1F"/>
    <w:rsid w:val="6731395C"/>
    <w:rsid w:val="67364560"/>
    <w:rsid w:val="67554E15"/>
    <w:rsid w:val="676254A4"/>
    <w:rsid w:val="676F1242"/>
    <w:rsid w:val="67706CC4"/>
    <w:rsid w:val="67710EC2"/>
    <w:rsid w:val="679E650E"/>
    <w:rsid w:val="67AD0D27"/>
    <w:rsid w:val="67B2192C"/>
    <w:rsid w:val="67C044C4"/>
    <w:rsid w:val="67DD4823"/>
    <w:rsid w:val="67F07212"/>
    <w:rsid w:val="680C4DB4"/>
    <w:rsid w:val="6814614D"/>
    <w:rsid w:val="68320F80"/>
    <w:rsid w:val="68A94442"/>
    <w:rsid w:val="68B0184E"/>
    <w:rsid w:val="68C462F1"/>
    <w:rsid w:val="68E56825"/>
    <w:rsid w:val="68FE2FAA"/>
    <w:rsid w:val="69056D5A"/>
    <w:rsid w:val="69811F27"/>
    <w:rsid w:val="69927C43"/>
    <w:rsid w:val="69A3561F"/>
    <w:rsid w:val="69EB68C7"/>
    <w:rsid w:val="69FC5FED"/>
    <w:rsid w:val="6A3A1355"/>
    <w:rsid w:val="6A3D42E7"/>
    <w:rsid w:val="6A472BE9"/>
    <w:rsid w:val="6A547D01"/>
    <w:rsid w:val="6A9B0342"/>
    <w:rsid w:val="6AB4102B"/>
    <w:rsid w:val="6AB60C9F"/>
    <w:rsid w:val="6ACE1BC9"/>
    <w:rsid w:val="6AD205CF"/>
    <w:rsid w:val="6ADA7BDA"/>
    <w:rsid w:val="6ADB6F8D"/>
    <w:rsid w:val="6B177A3F"/>
    <w:rsid w:val="6B1A09C3"/>
    <w:rsid w:val="6B1E73CA"/>
    <w:rsid w:val="6B373DEE"/>
    <w:rsid w:val="6B6320BC"/>
    <w:rsid w:val="6B845E74"/>
    <w:rsid w:val="6BA51E03"/>
    <w:rsid w:val="6BAA2831"/>
    <w:rsid w:val="6BB40BC2"/>
    <w:rsid w:val="6BBB054D"/>
    <w:rsid w:val="6BEE421F"/>
    <w:rsid w:val="6C122F13"/>
    <w:rsid w:val="6C7B5108"/>
    <w:rsid w:val="6C9E65C1"/>
    <w:rsid w:val="6CCA2908"/>
    <w:rsid w:val="6CF2604B"/>
    <w:rsid w:val="6CF33CAA"/>
    <w:rsid w:val="6D0F33FD"/>
    <w:rsid w:val="6D11307D"/>
    <w:rsid w:val="6D1F7E14"/>
    <w:rsid w:val="6D275220"/>
    <w:rsid w:val="6D2D6AB9"/>
    <w:rsid w:val="6D394241"/>
    <w:rsid w:val="6D7F36B1"/>
    <w:rsid w:val="6D8B4F45"/>
    <w:rsid w:val="6D97625A"/>
    <w:rsid w:val="6D997ADE"/>
    <w:rsid w:val="6DA438F0"/>
    <w:rsid w:val="6DB7708E"/>
    <w:rsid w:val="6DB9657F"/>
    <w:rsid w:val="6DC960AE"/>
    <w:rsid w:val="6DD808C7"/>
    <w:rsid w:val="6DE25953"/>
    <w:rsid w:val="6DE90B62"/>
    <w:rsid w:val="6E154EA9"/>
    <w:rsid w:val="6E4111F0"/>
    <w:rsid w:val="6E6A23B4"/>
    <w:rsid w:val="6E7042BE"/>
    <w:rsid w:val="6E9468B5"/>
    <w:rsid w:val="6E9C3E88"/>
    <w:rsid w:val="6EE132F8"/>
    <w:rsid w:val="6EF0008F"/>
    <w:rsid w:val="6EF51F98"/>
    <w:rsid w:val="6F123AC7"/>
    <w:rsid w:val="6F524050"/>
    <w:rsid w:val="6F674856"/>
    <w:rsid w:val="6F79782E"/>
    <w:rsid w:val="6FA25934"/>
    <w:rsid w:val="6FD54E8A"/>
    <w:rsid w:val="70352925"/>
    <w:rsid w:val="703561A8"/>
    <w:rsid w:val="7057415E"/>
    <w:rsid w:val="70666977"/>
    <w:rsid w:val="70974F48"/>
    <w:rsid w:val="70B544F8"/>
    <w:rsid w:val="70D30D13"/>
    <w:rsid w:val="70FA71EB"/>
    <w:rsid w:val="70FE7DEF"/>
    <w:rsid w:val="710F0089"/>
    <w:rsid w:val="712E093E"/>
    <w:rsid w:val="714275DF"/>
    <w:rsid w:val="718B55F7"/>
    <w:rsid w:val="71C1592F"/>
    <w:rsid w:val="71D25D8C"/>
    <w:rsid w:val="71DF0762"/>
    <w:rsid w:val="72002E95"/>
    <w:rsid w:val="721C4D44"/>
    <w:rsid w:val="72501D1B"/>
    <w:rsid w:val="72540721"/>
    <w:rsid w:val="727A2B5F"/>
    <w:rsid w:val="72972D5B"/>
    <w:rsid w:val="729C0B15"/>
    <w:rsid w:val="72B2653C"/>
    <w:rsid w:val="72C07A50"/>
    <w:rsid w:val="72C708F5"/>
    <w:rsid w:val="72D77675"/>
    <w:rsid w:val="72EC1B99"/>
    <w:rsid w:val="73096F4B"/>
    <w:rsid w:val="731B26E8"/>
    <w:rsid w:val="736F2172"/>
    <w:rsid w:val="738D3920"/>
    <w:rsid w:val="73B01AE0"/>
    <w:rsid w:val="73C450A4"/>
    <w:rsid w:val="73EF3FAC"/>
    <w:rsid w:val="74152CCB"/>
    <w:rsid w:val="74370333"/>
    <w:rsid w:val="743F3744"/>
    <w:rsid w:val="7458686C"/>
    <w:rsid w:val="74674908"/>
    <w:rsid w:val="7499095B"/>
    <w:rsid w:val="74A40EAA"/>
    <w:rsid w:val="74A67C70"/>
    <w:rsid w:val="74AF70D9"/>
    <w:rsid w:val="74C35F1C"/>
    <w:rsid w:val="74CE7B30"/>
    <w:rsid w:val="74EB59B8"/>
    <w:rsid w:val="7510189E"/>
    <w:rsid w:val="7512151E"/>
    <w:rsid w:val="752217B8"/>
    <w:rsid w:val="7522503C"/>
    <w:rsid w:val="753A6E5F"/>
    <w:rsid w:val="75400D68"/>
    <w:rsid w:val="75504886"/>
    <w:rsid w:val="755C0699"/>
    <w:rsid w:val="75B93A72"/>
    <w:rsid w:val="75C03C40"/>
    <w:rsid w:val="75D812E7"/>
    <w:rsid w:val="75DB69E8"/>
    <w:rsid w:val="75E37678"/>
    <w:rsid w:val="75F57592"/>
    <w:rsid w:val="7605012D"/>
    <w:rsid w:val="762B7A6C"/>
    <w:rsid w:val="76401F90"/>
    <w:rsid w:val="76564426"/>
    <w:rsid w:val="76581835"/>
    <w:rsid w:val="765B27BA"/>
    <w:rsid w:val="767F74F6"/>
    <w:rsid w:val="769A13A5"/>
    <w:rsid w:val="76A96107"/>
    <w:rsid w:val="76C23463"/>
    <w:rsid w:val="7715546B"/>
    <w:rsid w:val="771F5D7B"/>
    <w:rsid w:val="773764FA"/>
    <w:rsid w:val="774921DC"/>
    <w:rsid w:val="77690779"/>
    <w:rsid w:val="77966CBE"/>
    <w:rsid w:val="77DA1D31"/>
    <w:rsid w:val="77E9454A"/>
    <w:rsid w:val="77F03ED5"/>
    <w:rsid w:val="78582600"/>
    <w:rsid w:val="78622F0F"/>
    <w:rsid w:val="7868289A"/>
    <w:rsid w:val="787E4A3E"/>
    <w:rsid w:val="788C3D53"/>
    <w:rsid w:val="78952465"/>
    <w:rsid w:val="78A029F4"/>
    <w:rsid w:val="78CC6D3B"/>
    <w:rsid w:val="78DF5D5C"/>
    <w:rsid w:val="78FA7C0B"/>
    <w:rsid w:val="793B3143"/>
    <w:rsid w:val="796108B4"/>
    <w:rsid w:val="79707849"/>
    <w:rsid w:val="79C96FDE"/>
    <w:rsid w:val="79E9620E"/>
    <w:rsid w:val="7A284DF9"/>
    <w:rsid w:val="7A2B3800"/>
    <w:rsid w:val="7A40469E"/>
    <w:rsid w:val="7A421A85"/>
    <w:rsid w:val="7A472BA5"/>
    <w:rsid w:val="7A5223BA"/>
    <w:rsid w:val="7A5358BD"/>
    <w:rsid w:val="7A687DE1"/>
    <w:rsid w:val="7A795AFD"/>
    <w:rsid w:val="7A88522B"/>
    <w:rsid w:val="7A8D418E"/>
    <w:rsid w:val="7A9C1535"/>
    <w:rsid w:val="7AB14F4C"/>
    <w:rsid w:val="7ABD74EB"/>
    <w:rsid w:val="7ACF67AF"/>
    <w:rsid w:val="7AF745FF"/>
    <w:rsid w:val="7B704D90"/>
    <w:rsid w:val="7B9207C8"/>
    <w:rsid w:val="7B962A52"/>
    <w:rsid w:val="7B9C495B"/>
    <w:rsid w:val="7BB34580"/>
    <w:rsid w:val="7C276ABD"/>
    <w:rsid w:val="7C6516D2"/>
    <w:rsid w:val="7CB55428"/>
    <w:rsid w:val="7CB62EA9"/>
    <w:rsid w:val="7CEF7382"/>
    <w:rsid w:val="7CFE329D"/>
    <w:rsid w:val="7CFE6B21"/>
    <w:rsid w:val="7D017AA5"/>
    <w:rsid w:val="7D0719AF"/>
    <w:rsid w:val="7D133243"/>
    <w:rsid w:val="7D152EC3"/>
    <w:rsid w:val="7D1B284D"/>
    <w:rsid w:val="7D3768FA"/>
    <w:rsid w:val="7D5671AF"/>
    <w:rsid w:val="7D607ABF"/>
    <w:rsid w:val="7D6F401F"/>
    <w:rsid w:val="7D772F67"/>
    <w:rsid w:val="7D921593"/>
    <w:rsid w:val="7DAA36DD"/>
    <w:rsid w:val="7DD6409E"/>
    <w:rsid w:val="7DDC070D"/>
    <w:rsid w:val="7DE11312"/>
    <w:rsid w:val="7DE30098"/>
    <w:rsid w:val="7E0405CD"/>
    <w:rsid w:val="7E1A2770"/>
    <w:rsid w:val="7E3A5223"/>
    <w:rsid w:val="7E46233B"/>
    <w:rsid w:val="7E5F1BE0"/>
    <w:rsid w:val="7E6418EB"/>
    <w:rsid w:val="7E78058B"/>
    <w:rsid w:val="7E9E07CB"/>
    <w:rsid w:val="7EA2525B"/>
    <w:rsid w:val="7EB40C0B"/>
    <w:rsid w:val="7EBD1C74"/>
    <w:rsid w:val="7ECF0F9A"/>
    <w:rsid w:val="7F063673"/>
    <w:rsid w:val="7F1D6B1B"/>
    <w:rsid w:val="7F250E39"/>
    <w:rsid w:val="7F330CBF"/>
    <w:rsid w:val="7F4B6365"/>
    <w:rsid w:val="7F6C211D"/>
    <w:rsid w:val="7F9035D7"/>
    <w:rsid w:val="7FE120DC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1124</Words>
  <Characters>7101</Characters>
  <Lines>172</Lines>
  <Paragraphs>128</Paragraphs>
  <TotalTime>0</TotalTime>
  <ScaleCrop>false</ScaleCrop>
  <LinksUpToDate>false</LinksUpToDate>
  <CharactersWithSpaces>8220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2026-06-01T03:31:00Z</dcterms:created>
  <dc:creator>sharpal</dc:creator>
  <cp:lastModifiedBy>WPS_1492138145</cp:lastModifiedBy>
  <cp:lastPrinted>2026-03-30T05:25:00Z</cp:lastPrinted>
  <dcterms:modified xsi:type="dcterms:W3CDTF">2026-06-05T07:00:36Z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0C6EDB83DB1146D2B93A027C01AA95FE_13</vt:lpwstr>
  </property>
  <property fmtid="{D5CDD505-2E9C-101B-9397-08002B2CF9AE}" pid="4" name="GrammarlyDocumentId">
    <vt:lpwstr>68c1731d-0e74-4abd-acc2-8db4efae6d3e</vt:lpwstr>
  </property>
  <property fmtid="{D5CDD505-2E9C-101B-9397-08002B2CF9AE}" pid="5" name="KSOTemplateDocerSaveRecord">
    <vt:lpwstr>eyJoZGlkIjoiOWMzYTBiMmQ5Nzk5ZDMxZmJlMWM1ZDZlMThiMThmOGEiLCJ1c2VySWQiOiIyNzQ3NDY2NTQifQ==</vt:lpwstr>
  </property>
</Properties>
</file>